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12C0A" w14:textId="2C539494" w:rsidR="00A67BF8" w:rsidRPr="0010061B" w:rsidRDefault="00282186" w:rsidP="0010061B">
      <w:pPr>
        <w:spacing w:line="240" w:lineRule="auto"/>
        <w:jc w:val="center"/>
        <w:rPr>
          <w:rFonts w:ascii="Verdana" w:hAnsi="Verdana"/>
          <w:b/>
          <w:bCs/>
          <w:sz w:val="24"/>
          <w:szCs w:val="24"/>
        </w:rPr>
      </w:pPr>
      <w:r w:rsidRPr="0010061B">
        <w:rPr>
          <w:rFonts w:ascii="Verdana" w:hAnsi="Verdana"/>
          <w:b/>
          <w:bCs/>
          <w:sz w:val="24"/>
          <w:szCs w:val="24"/>
        </w:rPr>
        <w:t>Í</w:t>
      </w:r>
      <w:r w:rsidR="00025FC1" w:rsidRPr="0010061B">
        <w:rPr>
          <w:rFonts w:ascii="Verdana" w:hAnsi="Verdana"/>
          <w:b/>
          <w:bCs/>
          <w:sz w:val="24"/>
          <w:szCs w:val="24"/>
        </w:rPr>
        <w:t>NDICES SUBROGADOS DE RESISTENCIA INSULÍNICA EN LA EVALUACIÓN DE</w:t>
      </w:r>
      <w:r w:rsidRPr="0010061B">
        <w:rPr>
          <w:rFonts w:ascii="Verdana" w:hAnsi="Verdana"/>
          <w:b/>
          <w:bCs/>
          <w:sz w:val="24"/>
          <w:szCs w:val="24"/>
        </w:rPr>
        <w:t>L ESTADO</w:t>
      </w:r>
      <w:r w:rsidR="00025FC1" w:rsidRPr="0010061B">
        <w:rPr>
          <w:rFonts w:ascii="Verdana" w:hAnsi="Verdana"/>
          <w:b/>
          <w:bCs/>
          <w:sz w:val="24"/>
          <w:szCs w:val="24"/>
        </w:rPr>
        <w:t xml:space="preserve"> GLUC</w:t>
      </w:r>
      <w:r w:rsidRPr="0010061B">
        <w:rPr>
          <w:rFonts w:ascii="Verdana" w:hAnsi="Verdana"/>
          <w:b/>
          <w:bCs/>
          <w:sz w:val="24"/>
          <w:szCs w:val="24"/>
        </w:rPr>
        <w:t>É</w:t>
      </w:r>
      <w:r w:rsidR="00025FC1" w:rsidRPr="0010061B">
        <w:rPr>
          <w:rFonts w:ascii="Verdana" w:hAnsi="Verdana"/>
          <w:b/>
          <w:bCs/>
          <w:sz w:val="24"/>
          <w:szCs w:val="24"/>
        </w:rPr>
        <w:t>MI</w:t>
      </w:r>
      <w:r w:rsidRPr="0010061B">
        <w:rPr>
          <w:rFonts w:ascii="Verdana" w:hAnsi="Verdana"/>
          <w:b/>
          <w:bCs/>
          <w:sz w:val="24"/>
          <w:szCs w:val="24"/>
        </w:rPr>
        <w:t>CO CON PTG-1h</w:t>
      </w:r>
    </w:p>
    <w:p w14:paraId="0E2ABE58" w14:textId="647C7BAF" w:rsidR="00282186" w:rsidRDefault="00282186" w:rsidP="00025FC1">
      <w:pPr>
        <w:spacing w:line="240" w:lineRule="auto"/>
        <w:jc w:val="both"/>
        <w:rPr>
          <w:rFonts w:ascii="Verdana" w:hAnsi="Verdana"/>
          <w:sz w:val="24"/>
          <w:szCs w:val="24"/>
        </w:rPr>
      </w:pPr>
      <w:r>
        <w:rPr>
          <w:rFonts w:ascii="Verdana" w:hAnsi="Verdana"/>
          <w:sz w:val="24"/>
          <w:szCs w:val="24"/>
        </w:rPr>
        <w:t>Autores:</w:t>
      </w:r>
    </w:p>
    <w:p w14:paraId="594FAFC9" w14:textId="6F7E5706" w:rsidR="00282186" w:rsidRDefault="00282186" w:rsidP="006F0F12">
      <w:pPr>
        <w:spacing w:line="240" w:lineRule="auto"/>
        <w:rPr>
          <w:rFonts w:ascii="Verdana" w:hAnsi="Verdana"/>
          <w:sz w:val="24"/>
          <w:szCs w:val="24"/>
        </w:rPr>
      </w:pPr>
      <w:r w:rsidRPr="00282186">
        <w:rPr>
          <w:rFonts w:ascii="Verdana" w:hAnsi="Verdana"/>
          <w:sz w:val="24"/>
          <w:szCs w:val="24"/>
        </w:rPr>
        <w:t>Rubén González Tabares</w:t>
      </w:r>
      <w:r w:rsidRPr="00282186">
        <w:rPr>
          <w:rFonts w:ascii="Verdana" w:hAnsi="Verdana"/>
          <w:sz w:val="24"/>
          <w:szCs w:val="24"/>
          <w:vertAlign w:val="superscript"/>
        </w:rPr>
        <w:t>1</w:t>
      </w:r>
      <w:r w:rsidRPr="00282186">
        <w:rPr>
          <w:rFonts w:ascii="Verdana" w:hAnsi="Verdana"/>
          <w:sz w:val="24"/>
          <w:szCs w:val="24"/>
        </w:rPr>
        <w:t xml:space="preserve">* </w:t>
      </w:r>
      <w:hyperlink r:id="rId6" w:history="1">
        <w:r w:rsidRPr="000C44C1">
          <w:rPr>
            <w:rStyle w:val="Hipervnculo"/>
            <w:rFonts w:ascii="Verdana" w:hAnsi="Verdana"/>
            <w:sz w:val="24"/>
            <w:szCs w:val="24"/>
          </w:rPr>
          <w:t>https://orcid.org/0000-0002-4076-8650</w:t>
        </w:r>
      </w:hyperlink>
      <w:r>
        <w:rPr>
          <w:rFonts w:ascii="Verdana" w:hAnsi="Verdana"/>
          <w:sz w:val="24"/>
          <w:szCs w:val="24"/>
        </w:rPr>
        <w:t xml:space="preserve"> </w:t>
      </w:r>
    </w:p>
    <w:p w14:paraId="6B54EAC8" w14:textId="2CA48220" w:rsidR="006A1677" w:rsidRDefault="006A1677" w:rsidP="006F0F12">
      <w:pPr>
        <w:spacing w:line="240" w:lineRule="auto"/>
        <w:rPr>
          <w:rFonts w:ascii="Verdana" w:hAnsi="Verdana"/>
          <w:sz w:val="24"/>
          <w:szCs w:val="24"/>
        </w:rPr>
      </w:pPr>
      <w:proofErr w:type="spellStart"/>
      <w:r>
        <w:rPr>
          <w:rFonts w:ascii="Verdana" w:hAnsi="Verdana"/>
          <w:sz w:val="24"/>
          <w:szCs w:val="24"/>
        </w:rPr>
        <w:t>Yoselín</w:t>
      </w:r>
      <w:proofErr w:type="spellEnd"/>
      <w:r>
        <w:rPr>
          <w:rFonts w:ascii="Verdana" w:hAnsi="Verdana"/>
          <w:sz w:val="24"/>
          <w:szCs w:val="24"/>
        </w:rPr>
        <w:t xml:space="preserve"> González Montero</w:t>
      </w:r>
      <w:r w:rsidRPr="006A1677">
        <w:rPr>
          <w:rFonts w:ascii="Verdana" w:hAnsi="Verdana"/>
          <w:sz w:val="24"/>
          <w:szCs w:val="24"/>
          <w:vertAlign w:val="superscript"/>
        </w:rPr>
        <w:t>2</w:t>
      </w:r>
      <w:r>
        <w:rPr>
          <w:rFonts w:ascii="Verdana" w:hAnsi="Verdana"/>
          <w:sz w:val="24"/>
          <w:szCs w:val="24"/>
        </w:rPr>
        <w:t xml:space="preserve"> </w:t>
      </w:r>
      <w:hyperlink r:id="rId7" w:history="1">
        <w:r w:rsidRPr="000C44C1">
          <w:rPr>
            <w:rStyle w:val="Hipervnculo"/>
            <w:rFonts w:ascii="Verdana" w:hAnsi="Verdana"/>
            <w:sz w:val="24"/>
            <w:szCs w:val="24"/>
          </w:rPr>
          <w:t>https://orcid.org/0009-0000-7064-0749</w:t>
        </w:r>
      </w:hyperlink>
      <w:r>
        <w:rPr>
          <w:rFonts w:ascii="Verdana" w:hAnsi="Verdana"/>
          <w:sz w:val="24"/>
          <w:szCs w:val="24"/>
        </w:rPr>
        <w:t xml:space="preserve"> </w:t>
      </w:r>
    </w:p>
    <w:p w14:paraId="0711F09C" w14:textId="17A68BFB" w:rsidR="006F0F12" w:rsidRDefault="006F0F12" w:rsidP="006F0F12">
      <w:pPr>
        <w:spacing w:line="240" w:lineRule="auto"/>
        <w:rPr>
          <w:rFonts w:ascii="Verdana" w:hAnsi="Verdana"/>
          <w:sz w:val="24"/>
          <w:szCs w:val="24"/>
        </w:rPr>
      </w:pPr>
      <w:proofErr w:type="spellStart"/>
      <w:r w:rsidRPr="006F0F12">
        <w:rPr>
          <w:rFonts w:ascii="Verdana" w:hAnsi="Verdana"/>
          <w:sz w:val="24"/>
          <w:szCs w:val="24"/>
        </w:rPr>
        <w:t>Leydiana</w:t>
      </w:r>
      <w:proofErr w:type="spellEnd"/>
      <w:r w:rsidRPr="006F0F12">
        <w:rPr>
          <w:rFonts w:ascii="Verdana" w:hAnsi="Verdana"/>
          <w:sz w:val="24"/>
          <w:szCs w:val="24"/>
        </w:rPr>
        <w:t xml:space="preserve"> </w:t>
      </w:r>
      <w:proofErr w:type="spellStart"/>
      <w:r w:rsidRPr="006F0F12">
        <w:rPr>
          <w:rFonts w:ascii="Verdana" w:hAnsi="Verdana"/>
          <w:sz w:val="24"/>
          <w:szCs w:val="24"/>
        </w:rPr>
        <w:t>Trimiño</w:t>
      </w:r>
      <w:proofErr w:type="spellEnd"/>
      <w:r w:rsidRPr="006F0F12">
        <w:rPr>
          <w:rFonts w:ascii="Verdana" w:hAnsi="Verdana"/>
          <w:sz w:val="24"/>
          <w:szCs w:val="24"/>
        </w:rPr>
        <w:t xml:space="preserve"> Galindo</w:t>
      </w:r>
      <w:r w:rsidRPr="006F0F12">
        <w:rPr>
          <w:rFonts w:ascii="Verdana" w:hAnsi="Verdana"/>
          <w:sz w:val="24"/>
          <w:szCs w:val="24"/>
          <w:vertAlign w:val="superscript"/>
        </w:rPr>
        <w:t>1</w:t>
      </w:r>
      <w:r w:rsidRPr="006F0F12">
        <w:rPr>
          <w:rFonts w:ascii="Verdana" w:hAnsi="Verdana"/>
          <w:sz w:val="24"/>
          <w:szCs w:val="24"/>
        </w:rPr>
        <w:t xml:space="preserve"> </w:t>
      </w:r>
      <w:hyperlink r:id="rId8" w:history="1">
        <w:r w:rsidRPr="000C44C1">
          <w:rPr>
            <w:rStyle w:val="Hipervnculo"/>
            <w:rFonts w:ascii="Verdana" w:hAnsi="Verdana"/>
            <w:sz w:val="24"/>
            <w:szCs w:val="24"/>
          </w:rPr>
          <w:t>https://orcid.org/0000-0001-5430-5203</w:t>
        </w:r>
      </w:hyperlink>
      <w:r>
        <w:rPr>
          <w:rFonts w:ascii="Verdana" w:hAnsi="Verdana"/>
          <w:sz w:val="24"/>
          <w:szCs w:val="24"/>
        </w:rPr>
        <w:t xml:space="preserve"> </w:t>
      </w:r>
    </w:p>
    <w:p w14:paraId="5F9DD273" w14:textId="743DEF4A" w:rsidR="00282186" w:rsidRDefault="006F0F12" w:rsidP="006F0F12">
      <w:pPr>
        <w:spacing w:line="240" w:lineRule="auto"/>
        <w:rPr>
          <w:rFonts w:ascii="Verdana" w:hAnsi="Verdana"/>
          <w:sz w:val="24"/>
          <w:szCs w:val="24"/>
        </w:rPr>
      </w:pPr>
      <w:r w:rsidRPr="006F0F12">
        <w:rPr>
          <w:rFonts w:ascii="Verdana" w:hAnsi="Verdana"/>
          <w:sz w:val="24"/>
          <w:szCs w:val="24"/>
        </w:rPr>
        <w:t>María del Carmen Díaz de Armas</w:t>
      </w:r>
      <w:r w:rsidRPr="006F0F12">
        <w:rPr>
          <w:rFonts w:ascii="Verdana" w:hAnsi="Verdana"/>
          <w:sz w:val="24"/>
          <w:szCs w:val="24"/>
          <w:vertAlign w:val="superscript"/>
        </w:rPr>
        <w:t>1</w:t>
      </w:r>
      <w:r w:rsidRPr="006F0F12">
        <w:rPr>
          <w:rFonts w:ascii="Verdana" w:hAnsi="Verdana"/>
          <w:sz w:val="24"/>
          <w:szCs w:val="24"/>
        </w:rPr>
        <w:t xml:space="preserve"> </w:t>
      </w:r>
      <w:hyperlink r:id="rId9" w:history="1">
        <w:r w:rsidRPr="000C44C1">
          <w:rPr>
            <w:rStyle w:val="Hipervnculo"/>
            <w:rFonts w:ascii="Verdana" w:hAnsi="Verdana"/>
            <w:sz w:val="24"/>
            <w:szCs w:val="24"/>
          </w:rPr>
          <w:t>https://orcid.org/0000-0001-8367-8578</w:t>
        </w:r>
      </w:hyperlink>
      <w:r>
        <w:rPr>
          <w:rFonts w:ascii="Verdana" w:hAnsi="Verdana"/>
          <w:sz w:val="24"/>
          <w:szCs w:val="24"/>
        </w:rPr>
        <w:t xml:space="preserve"> </w:t>
      </w:r>
    </w:p>
    <w:p w14:paraId="1E8F22FC" w14:textId="1A4D66B7" w:rsidR="006F0F12" w:rsidRDefault="006A1677" w:rsidP="00D03E45">
      <w:pPr>
        <w:spacing w:line="240" w:lineRule="auto"/>
        <w:rPr>
          <w:rFonts w:ascii="Verdana" w:hAnsi="Verdana"/>
          <w:sz w:val="24"/>
          <w:szCs w:val="24"/>
        </w:rPr>
      </w:pPr>
      <w:r>
        <w:rPr>
          <w:rFonts w:ascii="Verdana" w:hAnsi="Verdana"/>
          <w:sz w:val="24"/>
          <w:szCs w:val="24"/>
        </w:rPr>
        <w:t>Junior Vega Jiménez</w:t>
      </w:r>
      <w:r w:rsidRPr="00D03E45">
        <w:rPr>
          <w:rFonts w:ascii="Verdana" w:hAnsi="Verdana"/>
          <w:sz w:val="24"/>
          <w:szCs w:val="24"/>
          <w:vertAlign w:val="superscript"/>
        </w:rPr>
        <w:t>1</w:t>
      </w:r>
      <w:r>
        <w:rPr>
          <w:rFonts w:ascii="Verdana" w:hAnsi="Verdana"/>
          <w:sz w:val="24"/>
          <w:szCs w:val="24"/>
        </w:rPr>
        <w:t xml:space="preserve"> </w:t>
      </w:r>
      <w:hyperlink r:id="rId10" w:history="1">
        <w:r w:rsidR="00D03E45" w:rsidRPr="000C44C1">
          <w:rPr>
            <w:rStyle w:val="Hipervnculo"/>
            <w:rFonts w:ascii="Verdana" w:hAnsi="Verdana"/>
            <w:sz w:val="24"/>
            <w:szCs w:val="24"/>
          </w:rPr>
          <w:t>https://orcid.org/0000-0002-6801-5191</w:t>
        </w:r>
      </w:hyperlink>
      <w:r w:rsidR="00D03E45">
        <w:rPr>
          <w:rFonts w:ascii="Verdana" w:hAnsi="Verdana"/>
          <w:sz w:val="24"/>
          <w:szCs w:val="24"/>
        </w:rPr>
        <w:t xml:space="preserve"> </w:t>
      </w:r>
    </w:p>
    <w:p w14:paraId="4E0C6390" w14:textId="77777777" w:rsidR="00D03E45" w:rsidRDefault="00D03E45" w:rsidP="00D03E45">
      <w:pPr>
        <w:spacing w:line="240" w:lineRule="auto"/>
        <w:rPr>
          <w:rFonts w:ascii="Verdana" w:hAnsi="Verdana"/>
          <w:sz w:val="24"/>
          <w:szCs w:val="24"/>
        </w:rPr>
      </w:pPr>
    </w:p>
    <w:p w14:paraId="5F8FFA06" w14:textId="7DF39BE9" w:rsidR="00282186" w:rsidRDefault="00282186" w:rsidP="006F0F12">
      <w:pPr>
        <w:spacing w:line="240" w:lineRule="auto"/>
        <w:rPr>
          <w:rFonts w:ascii="Verdana" w:hAnsi="Verdana"/>
          <w:sz w:val="24"/>
          <w:szCs w:val="24"/>
        </w:rPr>
      </w:pPr>
      <w:r w:rsidRPr="00282186">
        <w:rPr>
          <w:rFonts w:ascii="Verdana" w:hAnsi="Verdana"/>
          <w:sz w:val="24"/>
          <w:szCs w:val="24"/>
          <w:vertAlign w:val="superscript"/>
        </w:rPr>
        <w:t>1</w:t>
      </w:r>
      <w:r w:rsidR="00F57B9B">
        <w:rPr>
          <w:rFonts w:ascii="Verdana" w:hAnsi="Verdana"/>
          <w:sz w:val="24"/>
          <w:szCs w:val="24"/>
        </w:rPr>
        <w:t>Hospital Militar “Dr. Mario Muñoz Monroy”</w:t>
      </w:r>
      <w:r w:rsidRPr="00282186">
        <w:rPr>
          <w:rFonts w:ascii="Verdana" w:hAnsi="Verdana"/>
          <w:sz w:val="24"/>
          <w:szCs w:val="24"/>
        </w:rPr>
        <w:t>. Matanz</w:t>
      </w:r>
      <w:r w:rsidR="00F57B9B">
        <w:rPr>
          <w:rFonts w:ascii="Verdana" w:hAnsi="Verdana"/>
          <w:sz w:val="24"/>
          <w:szCs w:val="24"/>
        </w:rPr>
        <w:t>as, Cuba</w:t>
      </w:r>
    </w:p>
    <w:p w14:paraId="606C3D99" w14:textId="4FEF29AA" w:rsidR="006A1677" w:rsidRDefault="006A1677" w:rsidP="006F0F12">
      <w:pPr>
        <w:spacing w:line="240" w:lineRule="auto"/>
        <w:rPr>
          <w:rFonts w:ascii="Verdana" w:hAnsi="Verdana"/>
          <w:sz w:val="24"/>
          <w:szCs w:val="24"/>
        </w:rPr>
      </w:pPr>
      <w:r w:rsidRPr="006A1677">
        <w:rPr>
          <w:rFonts w:ascii="Verdana" w:hAnsi="Verdana"/>
          <w:sz w:val="24"/>
          <w:szCs w:val="24"/>
          <w:vertAlign w:val="superscript"/>
        </w:rPr>
        <w:t>2</w:t>
      </w:r>
      <w:r>
        <w:rPr>
          <w:rFonts w:ascii="Verdana" w:hAnsi="Verdana"/>
          <w:sz w:val="24"/>
          <w:szCs w:val="24"/>
        </w:rPr>
        <w:t>Hospital Psiquiátrico Docente Provincial “Antonio Guiteras Holmes”. Matanzas, Cuba</w:t>
      </w:r>
    </w:p>
    <w:p w14:paraId="5BAE06DE" w14:textId="77777777" w:rsidR="00D03E45" w:rsidRPr="00282186" w:rsidRDefault="00D03E45" w:rsidP="006F0F12">
      <w:pPr>
        <w:spacing w:line="240" w:lineRule="auto"/>
        <w:rPr>
          <w:rFonts w:ascii="Verdana" w:hAnsi="Verdana"/>
          <w:sz w:val="24"/>
          <w:szCs w:val="24"/>
        </w:rPr>
      </w:pPr>
    </w:p>
    <w:p w14:paraId="33884686" w14:textId="50242A1A" w:rsidR="00282186" w:rsidRDefault="00282186" w:rsidP="006F0F12">
      <w:pPr>
        <w:spacing w:line="240" w:lineRule="auto"/>
        <w:rPr>
          <w:rFonts w:ascii="Verdana" w:hAnsi="Verdana"/>
          <w:sz w:val="24"/>
          <w:szCs w:val="24"/>
        </w:rPr>
      </w:pPr>
      <w:r w:rsidRPr="00282186">
        <w:rPr>
          <w:rFonts w:ascii="Verdana" w:hAnsi="Verdana"/>
          <w:sz w:val="24"/>
          <w:szCs w:val="24"/>
        </w:rPr>
        <w:t xml:space="preserve">*Autor para la correspondencia. Correo electrónico: </w:t>
      </w:r>
      <w:hyperlink r:id="rId11" w:history="1">
        <w:r w:rsidRPr="000C44C1">
          <w:rPr>
            <w:rStyle w:val="Hipervnculo"/>
            <w:rFonts w:ascii="Verdana" w:hAnsi="Verdana"/>
            <w:sz w:val="24"/>
            <w:szCs w:val="24"/>
          </w:rPr>
          <w:t>rubengtabares@gmail.com</w:t>
        </w:r>
      </w:hyperlink>
      <w:r>
        <w:rPr>
          <w:rFonts w:ascii="Verdana" w:hAnsi="Verdana"/>
          <w:sz w:val="24"/>
          <w:szCs w:val="24"/>
        </w:rPr>
        <w:t xml:space="preserve"> </w:t>
      </w:r>
    </w:p>
    <w:p w14:paraId="25B644E1" w14:textId="77777777" w:rsidR="00282186" w:rsidRDefault="00282186" w:rsidP="006F0F12">
      <w:pPr>
        <w:spacing w:line="240" w:lineRule="auto"/>
        <w:rPr>
          <w:rFonts w:ascii="Verdana" w:hAnsi="Verdana"/>
          <w:sz w:val="24"/>
          <w:szCs w:val="24"/>
        </w:rPr>
      </w:pPr>
    </w:p>
    <w:p w14:paraId="10279CA2" w14:textId="2F8E0E10" w:rsidR="00025FC1" w:rsidRDefault="005D7D3E" w:rsidP="00025FC1">
      <w:pPr>
        <w:spacing w:line="240" w:lineRule="auto"/>
        <w:jc w:val="both"/>
        <w:rPr>
          <w:rFonts w:ascii="Verdana" w:hAnsi="Verdana"/>
          <w:sz w:val="24"/>
          <w:szCs w:val="24"/>
        </w:rPr>
      </w:pPr>
      <w:r w:rsidRPr="005D7D3E">
        <w:rPr>
          <w:rFonts w:ascii="Verdana" w:hAnsi="Verdana"/>
          <w:b/>
          <w:bCs/>
          <w:sz w:val="24"/>
          <w:szCs w:val="24"/>
        </w:rPr>
        <w:t xml:space="preserve">RESUMEN </w:t>
      </w:r>
    </w:p>
    <w:p w14:paraId="15FA776C" w14:textId="77777777" w:rsidR="008E16F9" w:rsidRDefault="008E16F9" w:rsidP="008E16F9">
      <w:pPr>
        <w:spacing w:line="240" w:lineRule="auto"/>
        <w:jc w:val="both"/>
        <w:rPr>
          <w:rFonts w:ascii="Verdana" w:hAnsi="Verdana"/>
          <w:sz w:val="24"/>
          <w:szCs w:val="24"/>
        </w:rPr>
      </w:pPr>
      <w:r>
        <w:rPr>
          <w:rFonts w:ascii="Verdana" w:hAnsi="Verdana"/>
          <w:b/>
          <w:sz w:val="24"/>
          <w:szCs w:val="24"/>
        </w:rPr>
        <w:t>Introducción</w:t>
      </w:r>
      <w:r>
        <w:rPr>
          <w:rFonts w:ascii="Verdana" w:hAnsi="Verdana"/>
          <w:sz w:val="24"/>
          <w:szCs w:val="24"/>
        </w:rPr>
        <w:t>: La medición directa de RI es compleja y costosa, por lo que se emplean índices subrogados como el triglicéridos-glucosa (</w:t>
      </w:r>
      <w:proofErr w:type="spellStart"/>
      <w:r>
        <w:rPr>
          <w:rFonts w:ascii="Verdana" w:hAnsi="Verdana"/>
          <w:sz w:val="24"/>
          <w:szCs w:val="24"/>
        </w:rPr>
        <w:t>TyG</w:t>
      </w:r>
      <w:proofErr w:type="spellEnd"/>
      <w:r>
        <w:rPr>
          <w:rFonts w:ascii="Verdana" w:hAnsi="Verdana"/>
          <w:sz w:val="24"/>
          <w:szCs w:val="24"/>
        </w:rPr>
        <w:t>) y el triglicéridos-glucosa-IMC (</w:t>
      </w:r>
      <w:proofErr w:type="spellStart"/>
      <w:r>
        <w:rPr>
          <w:rFonts w:ascii="Verdana" w:hAnsi="Verdana"/>
          <w:sz w:val="24"/>
          <w:szCs w:val="24"/>
        </w:rPr>
        <w:t>TyG</w:t>
      </w:r>
      <w:proofErr w:type="spellEnd"/>
      <w:r>
        <w:rPr>
          <w:rFonts w:ascii="Verdana" w:hAnsi="Verdana"/>
          <w:sz w:val="24"/>
          <w:szCs w:val="24"/>
        </w:rPr>
        <w:t xml:space="preserve">-IMC), que son accesibles y prácticos. La prueba de tolerancia a la glucosa de 1 hora (PTG-1h) ha surgido como herramienta sensible para la detección temprana de </w:t>
      </w:r>
      <w:proofErr w:type="spellStart"/>
      <w:r>
        <w:rPr>
          <w:rFonts w:ascii="Verdana" w:hAnsi="Verdana"/>
          <w:sz w:val="24"/>
          <w:szCs w:val="24"/>
        </w:rPr>
        <w:t>disglucemia</w:t>
      </w:r>
      <w:proofErr w:type="spellEnd"/>
      <w:r>
        <w:rPr>
          <w:rFonts w:ascii="Verdana" w:hAnsi="Verdana"/>
          <w:sz w:val="24"/>
          <w:szCs w:val="24"/>
        </w:rPr>
        <w:t>.</w:t>
      </w:r>
    </w:p>
    <w:p w14:paraId="44C432D7" w14:textId="77777777" w:rsidR="008E16F9" w:rsidRDefault="008E16F9" w:rsidP="008E16F9">
      <w:pPr>
        <w:spacing w:line="240" w:lineRule="auto"/>
        <w:jc w:val="both"/>
        <w:rPr>
          <w:rFonts w:ascii="Verdana" w:hAnsi="Verdana"/>
          <w:sz w:val="24"/>
          <w:szCs w:val="24"/>
        </w:rPr>
      </w:pPr>
      <w:r>
        <w:rPr>
          <w:rFonts w:ascii="Verdana" w:hAnsi="Verdana"/>
          <w:b/>
          <w:sz w:val="24"/>
          <w:szCs w:val="24"/>
        </w:rPr>
        <w:t>Objetivo</w:t>
      </w:r>
      <w:r>
        <w:rPr>
          <w:rFonts w:ascii="Verdana" w:hAnsi="Verdana"/>
          <w:sz w:val="24"/>
          <w:szCs w:val="24"/>
        </w:rPr>
        <w:t xml:space="preserve">: determinar la relación de los índices </w:t>
      </w:r>
      <w:proofErr w:type="spellStart"/>
      <w:r>
        <w:rPr>
          <w:rFonts w:ascii="Verdana" w:hAnsi="Verdana"/>
          <w:sz w:val="24"/>
          <w:szCs w:val="24"/>
        </w:rPr>
        <w:t>TyG</w:t>
      </w:r>
      <w:proofErr w:type="spellEnd"/>
      <w:r>
        <w:rPr>
          <w:rFonts w:ascii="Verdana" w:hAnsi="Verdana"/>
          <w:sz w:val="24"/>
          <w:szCs w:val="24"/>
        </w:rPr>
        <w:t xml:space="preserve"> y </w:t>
      </w:r>
      <w:proofErr w:type="spellStart"/>
      <w:r>
        <w:rPr>
          <w:rFonts w:ascii="Verdana" w:hAnsi="Verdana"/>
          <w:sz w:val="24"/>
          <w:szCs w:val="24"/>
        </w:rPr>
        <w:t>TyG</w:t>
      </w:r>
      <w:proofErr w:type="spellEnd"/>
      <w:r>
        <w:rPr>
          <w:rFonts w:ascii="Verdana" w:hAnsi="Verdana"/>
          <w:sz w:val="24"/>
          <w:szCs w:val="24"/>
        </w:rPr>
        <w:t xml:space="preserve">-IMC con la </w:t>
      </w:r>
      <w:proofErr w:type="spellStart"/>
      <w:r>
        <w:rPr>
          <w:rFonts w:ascii="Verdana" w:hAnsi="Verdana"/>
          <w:sz w:val="24"/>
          <w:szCs w:val="24"/>
        </w:rPr>
        <w:t>disglucemia</w:t>
      </w:r>
      <w:proofErr w:type="spellEnd"/>
      <w:r>
        <w:rPr>
          <w:rFonts w:ascii="Verdana" w:hAnsi="Verdana"/>
          <w:sz w:val="24"/>
          <w:szCs w:val="24"/>
        </w:rPr>
        <w:t xml:space="preserve"> detectada mediante pruebas de tolerancia a la glucosa de 1 y 2 horas.</w:t>
      </w:r>
    </w:p>
    <w:p w14:paraId="35DF3C52" w14:textId="77777777" w:rsidR="008E16F9" w:rsidRDefault="008E16F9" w:rsidP="008E16F9">
      <w:pPr>
        <w:spacing w:line="240" w:lineRule="auto"/>
        <w:jc w:val="both"/>
        <w:rPr>
          <w:rFonts w:ascii="Verdana" w:hAnsi="Verdana"/>
          <w:sz w:val="24"/>
          <w:szCs w:val="24"/>
        </w:rPr>
      </w:pPr>
      <w:r>
        <w:rPr>
          <w:rFonts w:ascii="Verdana" w:hAnsi="Verdana"/>
          <w:b/>
          <w:sz w:val="24"/>
          <w:szCs w:val="24"/>
        </w:rPr>
        <w:t>Material y método</w:t>
      </w:r>
      <w:r>
        <w:rPr>
          <w:rFonts w:ascii="Verdana" w:hAnsi="Verdana"/>
          <w:sz w:val="24"/>
          <w:szCs w:val="24"/>
        </w:rPr>
        <w:t xml:space="preserve">: estudio transversal y analítico realizado en el Hospital Militar “Dr. Mario Muñoz Monroy”, Matanzas, Cuba, entre febrero y mayo de 2025. Se incluyeron 586 trabajadores a quienes se les realizó evaluación clínica, medición de parámetros bioquímicos y antropométricos, PTG-1h y PTG-2h según criterios de inclusión. Se analizaron los valores de </w:t>
      </w:r>
      <w:proofErr w:type="spellStart"/>
      <w:r>
        <w:rPr>
          <w:rFonts w:ascii="Verdana" w:hAnsi="Verdana"/>
          <w:sz w:val="24"/>
          <w:szCs w:val="24"/>
        </w:rPr>
        <w:t>TyG</w:t>
      </w:r>
      <w:proofErr w:type="spellEnd"/>
      <w:r>
        <w:rPr>
          <w:rFonts w:ascii="Verdana" w:hAnsi="Verdana"/>
          <w:sz w:val="24"/>
          <w:szCs w:val="24"/>
        </w:rPr>
        <w:t xml:space="preserve"> y </w:t>
      </w:r>
      <w:proofErr w:type="spellStart"/>
      <w:r>
        <w:rPr>
          <w:rFonts w:ascii="Verdana" w:hAnsi="Verdana"/>
          <w:sz w:val="24"/>
          <w:szCs w:val="24"/>
        </w:rPr>
        <w:t>TyG</w:t>
      </w:r>
      <w:proofErr w:type="spellEnd"/>
      <w:r>
        <w:rPr>
          <w:rFonts w:ascii="Verdana" w:hAnsi="Verdana"/>
          <w:sz w:val="24"/>
          <w:szCs w:val="24"/>
        </w:rPr>
        <w:t>-IMC según el estado glucémico y se evaluó su capacidad diagnóstica mediante curvas ROC.</w:t>
      </w:r>
    </w:p>
    <w:p w14:paraId="5019E3F0" w14:textId="77777777" w:rsidR="008E16F9" w:rsidRDefault="008E16F9" w:rsidP="008E16F9">
      <w:pPr>
        <w:spacing w:line="240" w:lineRule="auto"/>
        <w:jc w:val="both"/>
        <w:rPr>
          <w:rFonts w:ascii="Verdana" w:hAnsi="Verdana"/>
          <w:sz w:val="24"/>
          <w:szCs w:val="24"/>
        </w:rPr>
      </w:pPr>
      <w:r>
        <w:rPr>
          <w:rFonts w:ascii="Verdana" w:hAnsi="Verdana"/>
          <w:b/>
          <w:sz w:val="24"/>
          <w:szCs w:val="24"/>
        </w:rPr>
        <w:t>Resultados</w:t>
      </w:r>
      <w:r>
        <w:rPr>
          <w:rFonts w:ascii="Verdana" w:hAnsi="Verdana"/>
          <w:sz w:val="24"/>
          <w:szCs w:val="24"/>
        </w:rPr>
        <w:t xml:space="preserve">: el 80 % de los participantes presentó sobrepeso u obesidad. La PTG-1h detectó 94 casos de </w:t>
      </w:r>
      <w:proofErr w:type="spellStart"/>
      <w:r>
        <w:rPr>
          <w:rFonts w:ascii="Verdana" w:hAnsi="Verdana"/>
          <w:sz w:val="24"/>
          <w:szCs w:val="24"/>
        </w:rPr>
        <w:t>disglucemia</w:t>
      </w:r>
      <w:proofErr w:type="spellEnd"/>
      <w:r>
        <w:rPr>
          <w:rFonts w:ascii="Verdana" w:hAnsi="Verdana"/>
          <w:sz w:val="24"/>
          <w:szCs w:val="24"/>
        </w:rPr>
        <w:t xml:space="preserve">, 14 más que la </w:t>
      </w:r>
      <w:r>
        <w:rPr>
          <w:rFonts w:ascii="Verdana" w:hAnsi="Verdana"/>
          <w:sz w:val="24"/>
          <w:szCs w:val="24"/>
        </w:rPr>
        <w:lastRenderedPageBreak/>
        <w:t xml:space="preserve">PTG-2h. Ambos índices </w:t>
      </w:r>
      <w:proofErr w:type="spellStart"/>
      <w:r>
        <w:rPr>
          <w:rFonts w:ascii="Verdana" w:hAnsi="Verdana"/>
          <w:sz w:val="24"/>
          <w:szCs w:val="24"/>
        </w:rPr>
        <w:t>TyG</w:t>
      </w:r>
      <w:proofErr w:type="spellEnd"/>
      <w:r>
        <w:rPr>
          <w:rFonts w:ascii="Verdana" w:hAnsi="Verdana"/>
          <w:sz w:val="24"/>
          <w:szCs w:val="24"/>
        </w:rPr>
        <w:t xml:space="preserve"> y </w:t>
      </w:r>
      <w:proofErr w:type="spellStart"/>
      <w:r>
        <w:rPr>
          <w:rFonts w:ascii="Verdana" w:hAnsi="Verdana"/>
          <w:sz w:val="24"/>
          <w:szCs w:val="24"/>
        </w:rPr>
        <w:t>TyG</w:t>
      </w:r>
      <w:proofErr w:type="spellEnd"/>
      <w:r>
        <w:rPr>
          <w:rFonts w:ascii="Verdana" w:hAnsi="Verdana"/>
          <w:sz w:val="24"/>
          <w:szCs w:val="24"/>
        </w:rPr>
        <w:t xml:space="preserve">-IMC aumentaron significativamente con el deterioro del estado glucémico (p &lt; 0,001). El área bajo la curva para el diagnóstico de </w:t>
      </w:r>
      <w:proofErr w:type="spellStart"/>
      <w:r>
        <w:rPr>
          <w:rFonts w:ascii="Verdana" w:hAnsi="Verdana"/>
          <w:sz w:val="24"/>
          <w:szCs w:val="24"/>
        </w:rPr>
        <w:t>disglucemia</w:t>
      </w:r>
      <w:proofErr w:type="spellEnd"/>
      <w:r>
        <w:rPr>
          <w:rFonts w:ascii="Verdana" w:hAnsi="Verdana"/>
          <w:sz w:val="24"/>
          <w:szCs w:val="24"/>
        </w:rPr>
        <w:t xml:space="preserve"> fue ≥ 0,77 para ambos índices, fue superior cuando se utilizó la PTG-2h.</w:t>
      </w:r>
    </w:p>
    <w:p w14:paraId="0C4A5957" w14:textId="77777777" w:rsidR="008E16F9" w:rsidRDefault="008E16F9" w:rsidP="008E16F9">
      <w:pPr>
        <w:spacing w:line="240" w:lineRule="auto"/>
        <w:jc w:val="both"/>
        <w:rPr>
          <w:rFonts w:ascii="Verdana" w:hAnsi="Verdana"/>
          <w:sz w:val="24"/>
          <w:szCs w:val="24"/>
        </w:rPr>
      </w:pPr>
      <w:r>
        <w:rPr>
          <w:rFonts w:ascii="Verdana" w:hAnsi="Verdana"/>
          <w:b/>
          <w:sz w:val="24"/>
          <w:szCs w:val="24"/>
        </w:rPr>
        <w:t>Conclusiones</w:t>
      </w:r>
      <w:r>
        <w:rPr>
          <w:rFonts w:ascii="Verdana" w:hAnsi="Verdana"/>
          <w:sz w:val="24"/>
          <w:szCs w:val="24"/>
        </w:rPr>
        <w:t xml:space="preserve">: la PTG-1h detecta más </w:t>
      </w:r>
      <w:proofErr w:type="spellStart"/>
      <w:r>
        <w:rPr>
          <w:rFonts w:ascii="Verdana" w:hAnsi="Verdana"/>
          <w:sz w:val="24"/>
          <w:szCs w:val="24"/>
        </w:rPr>
        <w:t>disglucemia</w:t>
      </w:r>
      <w:proofErr w:type="spellEnd"/>
      <w:r>
        <w:rPr>
          <w:rFonts w:ascii="Verdana" w:hAnsi="Verdana"/>
          <w:sz w:val="24"/>
          <w:szCs w:val="24"/>
        </w:rPr>
        <w:t xml:space="preserve"> que la PTG-2h. Los índices </w:t>
      </w:r>
      <w:proofErr w:type="spellStart"/>
      <w:r>
        <w:rPr>
          <w:rFonts w:ascii="Verdana" w:hAnsi="Verdana"/>
          <w:sz w:val="24"/>
          <w:szCs w:val="24"/>
        </w:rPr>
        <w:t>TyG</w:t>
      </w:r>
      <w:proofErr w:type="spellEnd"/>
      <w:r>
        <w:rPr>
          <w:rFonts w:ascii="Verdana" w:hAnsi="Verdana"/>
          <w:sz w:val="24"/>
          <w:szCs w:val="24"/>
        </w:rPr>
        <w:t xml:space="preserve"> y </w:t>
      </w:r>
      <w:proofErr w:type="spellStart"/>
      <w:r>
        <w:rPr>
          <w:rFonts w:ascii="Verdana" w:hAnsi="Verdana"/>
          <w:sz w:val="24"/>
          <w:szCs w:val="24"/>
        </w:rPr>
        <w:t>TyG</w:t>
      </w:r>
      <w:proofErr w:type="spellEnd"/>
      <w:r>
        <w:rPr>
          <w:rFonts w:ascii="Verdana" w:hAnsi="Verdana"/>
          <w:sz w:val="24"/>
          <w:szCs w:val="24"/>
        </w:rPr>
        <w:t xml:space="preserve">-IMC tienen mayor precisión con glucosa a 2 horas, pero la prueba de 1 hora aún es útil para detección de resistencia </w:t>
      </w:r>
      <w:proofErr w:type="spellStart"/>
      <w:r>
        <w:rPr>
          <w:rFonts w:ascii="Verdana" w:hAnsi="Verdana"/>
          <w:sz w:val="24"/>
          <w:szCs w:val="24"/>
        </w:rPr>
        <w:t>insulínica</w:t>
      </w:r>
      <w:proofErr w:type="spellEnd"/>
      <w:r>
        <w:rPr>
          <w:rFonts w:ascii="Verdana" w:hAnsi="Verdana"/>
          <w:sz w:val="24"/>
          <w:szCs w:val="24"/>
        </w:rPr>
        <w:t>.</w:t>
      </w:r>
      <w:bookmarkStart w:id="0" w:name="_GoBack"/>
      <w:bookmarkEnd w:id="0"/>
    </w:p>
    <w:p w14:paraId="152838F4" w14:textId="6F43F5FD" w:rsidR="00F57B9B" w:rsidRPr="006E3657" w:rsidRDefault="00F57B9B" w:rsidP="006E3657">
      <w:pPr>
        <w:spacing w:line="240" w:lineRule="auto"/>
        <w:jc w:val="both"/>
        <w:rPr>
          <w:rFonts w:ascii="Verdana" w:hAnsi="Verdana"/>
          <w:sz w:val="24"/>
          <w:szCs w:val="24"/>
        </w:rPr>
      </w:pPr>
      <w:r w:rsidRPr="007A4A4A">
        <w:rPr>
          <w:rFonts w:ascii="Verdana" w:hAnsi="Verdana"/>
          <w:b/>
          <w:sz w:val="24"/>
          <w:szCs w:val="24"/>
        </w:rPr>
        <w:t>Palabras clave</w:t>
      </w:r>
      <w:r>
        <w:rPr>
          <w:rFonts w:ascii="Verdana" w:hAnsi="Verdana"/>
          <w:sz w:val="24"/>
          <w:szCs w:val="24"/>
        </w:rPr>
        <w:t>: diabetes m</w:t>
      </w:r>
      <w:r w:rsidRPr="00F57B9B">
        <w:rPr>
          <w:rFonts w:ascii="Verdana" w:hAnsi="Verdana"/>
          <w:sz w:val="24"/>
          <w:szCs w:val="24"/>
        </w:rPr>
        <w:t>ellitus</w:t>
      </w:r>
      <w:r>
        <w:rPr>
          <w:rFonts w:ascii="Verdana" w:hAnsi="Verdana"/>
          <w:sz w:val="24"/>
          <w:szCs w:val="24"/>
        </w:rPr>
        <w:t xml:space="preserve">; </w:t>
      </w:r>
      <w:r w:rsidR="007A4A4A">
        <w:rPr>
          <w:rFonts w:ascii="Verdana" w:hAnsi="Verdana"/>
          <w:sz w:val="24"/>
          <w:szCs w:val="24"/>
        </w:rPr>
        <w:t>estado p</w:t>
      </w:r>
      <w:r w:rsidR="007A4A4A" w:rsidRPr="007A4A4A">
        <w:rPr>
          <w:rFonts w:ascii="Verdana" w:hAnsi="Verdana"/>
          <w:sz w:val="24"/>
          <w:szCs w:val="24"/>
        </w:rPr>
        <w:t>rediabético</w:t>
      </w:r>
      <w:r w:rsidR="007A4A4A">
        <w:rPr>
          <w:rFonts w:ascii="Verdana" w:hAnsi="Verdana"/>
          <w:sz w:val="24"/>
          <w:szCs w:val="24"/>
        </w:rPr>
        <w:t xml:space="preserve">; </w:t>
      </w:r>
      <w:r w:rsidR="00F341D1">
        <w:rPr>
          <w:rFonts w:ascii="Verdana" w:hAnsi="Verdana"/>
          <w:sz w:val="24"/>
          <w:szCs w:val="24"/>
        </w:rPr>
        <w:t>prueba de tolerancia a la g</w:t>
      </w:r>
      <w:r w:rsidR="007A4A4A" w:rsidRPr="007A4A4A">
        <w:rPr>
          <w:rFonts w:ascii="Verdana" w:hAnsi="Verdana"/>
          <w:sz w:val="24"/>
          <w:szCs w:val="24"/>
        </w:rPr>
        <w:t>lucosa</w:t>
      </w:r>
      <w:r w:rsidR="00F341D1">
        <w:rPr>
          <w:rFonts w:ascii="Verdana" w:hAnsi="Verdana"/>
          <w:sz w:val="24"/>
          <w:szCs w:val="24"/>
        </w:rPr>
        <w:t>; resistencia a la i</w:t>
      </w:r>
      <w:r w:rsidR="00F341D1" w:rsidRPr="00F341D1">
        <w:rPr>
          <w:rFonts w:ascii="Verdana" w:hAnsi="Verdana"/>
          <w:sz w:val="24"/>
          <w:szCs w:val="24"/>
        </w:rPr>
        <w:t>nsulina</w:t>
      </w:r>
      <w:r w:rsidR="006E3657">
        <w:rPr>
          <w:rFonts w:ascii="Verdana" w:hAnsi="Verdana"/>
          <w:sz w:val="24"/>
          <w:szCs w:val="24"/>
        </w:rPr>
        <w:t>; tamizaje m</w:t>
      </w:r>
      <w:r w:rsidR="006E3657" w:rsidRPr="006E3657">
        <w:rPr>
          <w:rFonts w:ascii="Verdana" w:hAnsi="Verdana"/>
          <w:sz w:val="24"/>
          <w:szCs w:val="24"/>
        </w:rPr>
        <w:t>asivo</w:t>
      </w:r>
    </w:p>
    <w:p w14:paraId="62CCD321" w14:textId="78FAC785" w:rsidR="00F57B9B" w:rsidRDefault="00F57B9B" w:rsidP="00025FC1">
      <w:pPr>
        <w:spacing w:line="240" w:lineRule="auto"/>
        <w:jc w:val="both"/>
        <w:rPr>
          <w:rFonts w:ascii="Verdana" w:hAnsi="Verdana"/>
          <w:sz w:val="24"/>
          <w:szCs w:val="24"/>
        </w:rPr>
      </w:pPr>
    </w:p>
    <w:p w14:paraId="10A8C1D0" w14:textId="77777777" w:rsidR="007A4A4A" w:rsidRPr="00946482" w:rsidRDefault="007A4A4A" w:rsidP="007A4A4A">
      <w:pPr>
        <w:spacing w:line="240" w:lineRule="auto"/>
        <w:jc w:val="both"/>
        <w:rPr>
          <w:rFonts w:ascii="Verdana" w:hAnsi="Verdana"/>
          <w:b/>
          <w:sz w:val="24"/>
          <w:szCs w:val="24"/>
          <w:lang w:val="en-US"/>
        </w:rPr>
      </w:pPr>
      <w:r w:rsidRPr="00946482">
        <w:rPr>
          <w:rFonts w:ascii="Verdana" w:hAnsi="Verdana"/>
          <w:b/>
          <w:sz w:val="24"/>
          <w:szCs w:val="24"/>
          <w:lang w:val="en-US"/>
        </w:rPr>
        <w:t>ABSTRACT</w:t>
      </w:r>
    </w:p>
    <w:p w14:paraId="68735471" w14:textId="0C37084C" w:rsidR="008E16F9" w:rsidRPr="008E16F9" w:rsidRDefault="008E16F9" w:rsidP="008E16F9">
      <w:pPr>
        <w:spacing w:line="240" w:lineRule="auto"/>
        <w:jc w:val="both"/>
        <w:rPr>
          <w:rFonts w:ascii="Verdana" w:hAnsi="Verdana"/>
          <w:sz w:val="24"/>
          <w:szCs w:val="24"/>
          <w:lang w:val="en"/>
        </w:rPr>
      </w:pPr>
      <w:r w:rsidRPr="008E16F9">
        <w:rPr>
          <w:rFonts w:ascii="Verdana" w:hAnsi="Verdana"/>
          <w:b/>
          <w:sz w:val="24"/>
          <w:szCs w:val="24"/>
          <w:lang w:val="en"/>
        </w:rPr>
        <w:t>Introduction</w:t>
      </w:r>
      <w:r w:rsidRPr="008E16F9">
        <w:rPr>
          <w:rFonts w:ascii="Verdana" w:hAnsi="Verdana"/>
          <w:sz w:val="24"/>
          <w:szCs w:val="24"/>
          <w:lang w:val="en"/>
        </w:rPr>
        <w:t>: Direct measurement of insulin resistance is complex and expensive, so surrogate indices such</w:t>
      </w:r>
      <w:r>
        <w:rPr>
          <w:rFonts w:ascii="Verdana" w:hAnsi="Verdana"/>
          <w:sz w:val="24"/>
          <w:szCs w:val="24"/>
          <w:lang w:val="en"/>
        </w:rPr>
        <w:t xml:space="preserve"> as the triglyceride-glucose (</w:t>
      </w:r>
      <w:proofErr w:type="spellStart"/>
      <w:r>
        <w:rPr>
          <w:rFonts w:ascii="Verdana" w:hAnsi="Verdana"/>
          <w:sz w:val="24"/>
          <w:szCs w:val="24"/>
          <w:lang w:val="en"/>
        </w:rPr>
        <w:t>Ty</w:t>
      </w:r>
      <w:r w:rsidRPr="008E16F9">
        <w:rPr>
          <w:rFonts w:ascii="Verdana" w:hAnsi="Verdana"/>
          <w:sz w:val="24"/>
          <w:szCs w:val="24"/>
          <w:lang w:val="en"/>
        </w:rPr>
        <w:t>G</w:t>
      </w:r>
      <w:proofErr w:type="spellEnd"/>
      <w:r w:rsidRPr="008E16F9">
        <w:rPr>
          <w:rFonts w:ascii="Verdana" w:hAnsi="Verdana"/>
          <w:sz w:val="24"/>
          <w:szCs w:val="24"/>
          <w:lang w:val="en"/>
        </w:rPr>
        <w:t xml:space="preserve">) </w:t>
      </w:r>
      <w:r>
        <w:rPr>
          <w:rFonts w:ascii="Verdana" w:hAnsi="Verdana"/>
          <w:sz w:val="24"/>
          <w:szCs w:val="24"/>
          <w:lang w:val="en"/>
        </w:rPr>
        <w:t>and triglyceride-glucose-BMI (</w:t>
      </w:r>
      <w:proofErr w:type="spellStart"/>
      <w:r>
        <w:rPr>
          <w:rFonts w:ascii="Verdana" w:hAnsi="Verdana"/>
          <w:sz w:val="24"/>
          <w:szCs w:val="24"/>
          <w:lang w:val="en"/>
        </w:rPr>
        <w:t>Ty</w:t>
      </w:r>
      <w:r w:rsidRPr="008E16F9">
        <w:rPr>
          <w:rFonts w:ascii="Verdana" w:hAnsi="Verdana"/>
          <w:sz w:val="24"/>
          <w:szCs w:val="24"/>
          <w:lang w:val="en"/>
        </w:rPr>
        <w:t>G</w:t>
      </w:r>
      <w:proofErr w:type="spellEnd"/>
      <w:r w:rsidRPr="008E16F9">
        <w:rPr>
          <w:rFonts w:ascii="Verdana" w:hAnsi="Verdana"/>
          <w:sz w:val="24"/>
          <w:szCs w:val="24"/>
          <w:lang w:val="en"/>
        </w:rPr>
        <w:t xml:space="preserve">-BMI) are used, as they are accessible and practical. The 1-hour glucose tolerance test (1h-GTT) has emerged as a sensitive tool for the early detection of </w:t>
      </w:r>
      <w:proofErr w:type="spellStart"/>
      <w:r w:rsidRPr="008E16F9">
        <w:rPr>
          <w:rFonts w:ascii="Verdana" w:hAnsi="Verdana"/>
          <w:sz w:val="24"/>
          <w:szCs w:val="24"/>
          <w:lang w:val="en"/>
        </w:rPr>
        <w:t>dysglycemia</w:t>
      </w:r>
      <w:proofErr w:type="spellEnd"/>
      <w:r w:rsidRPr="008E16F9">
        <w:rPr>
          <w:rFonts w:ascii="Verdana" w:hAnsi="Verdana"/>
          <w:sz w:val="24"/>
          <w:szCs w:val="24"/>
          <w:lang w:val="en"/>
        </w:rPr>
        <w:t>.</w:t>
      </w:r>
    </w:p>
    <w:p w14:paraId="3B36D2B3" w14:textId="01915577" w:rsidR="008E16F9" w:rsidRPr="008E16F9" w:rsidRDefault="008E16F9" w:rsidP="008E16F9">
      <w:pPr>
        <w:spacing w:line="240" w:lineRule="auto"/>
        <w:jc w:val="both"/>
        <w:rPr>
          <w:rFonts w:ascii="Verdana" w:hAnsi="Verdana"/>
          <w:sz w:val="24"/>
          <w:szCs w:val="24"/>
          <w:lang w:val="es-ES"/>
        </w:rPr>
      </w:pPr>
      <w:r w:rsidRPr="008E16F9">
        <w:rPr>
          <w:rFonts w:ascii="Verdana" w:hAnsi="Verdana"/>
          <w:b/>
          <w:sz w:val="24"/>
          <w:szCs w:val="24"/>
          <w:lang w:val="en"/>
        </w:rPr>
        <w:t>Objective</w:t>
      </w:r>
      <w:r w:rsidRPr="008E16F9">
        <w:rPr>
          <w:rFonts w:ascii="Verdana" w:hAnsi="Verdana"/>
          <w:sz w:val="24"/>
          <w:szCs w:val="24"/>
          <w:lang w:val="en"/>
        </w:rPr>
        <w:t>: To determine</w:t>
      </w:r>
      <w:r>
        <w:rPr>
          <w:rFonts w:ascii="Verdana" w:hAnsi="Verdana"/>
          <w:sz w:val="24"/>
          <w:szCs w:val="24"/>
          <w:lang w:val="en"/>
        </w:rPr>
        <w:t xml:space="preserve"> the relationship between the </w:t>
      </w:r>
      <w:proofErr w:type="spellStart"/>
      <w:r>
        <w:rPr>
          <w:rFonts w:ascii="Verdana" w:hAnsi="Verdana"/>
          <w:sz w:val="24"/>
          <w:szCs w:val="24"/>
          <w:lang w:val="en"/>
        </w:rPr>
        <w:t>TyG</w:t>
      </w:r>
      <w:proofErr w:type="spellEnd"/>
      <w:r>
        <w:rPr>
          <w:rFonts w:ascii="Verdana" w:hAnsi="Verdana"/>
          <w:sz w:val="24"/>
          <w:szCs w:val="24"/>
          <w:lang w:val="en"/>
        </w:rPr>
        <w:t xml:space="preserve"> and </w:t>
      </w:r>
      <w:proofErr w:type="spellStart"/>
      <w:r>
        <w:rPr>
          <w:rFonts w:ascii="Verdana" w:hAnsi="Verdana"/>
          <w:sz w:val="24"/>
          <w:szCs w:val="24"/>
          <w:lang w:val="en"/>
        </w:rPr>
        <w:t>Ty</w:t>
      </w:r>
      <w:r w:rsidRPr="008E16F9">
        <w:rPr>
          <w:rFonts w:ascii="Verdana" w:hAnsi="Verdana"/>
          <w:sz w:val="24"/>
          <w:szCs w:val="24"/>
          <w:lang w:val="en"/>
        </w:rPr>
        <w:t>G</w:t>
      </w:r>
      <w:proofErr w:type="spellEnd"/>
      <w:r w:rsidRPr="008E16F9">
        <w:rPr>
          <w:rFonts w:ascii="Verdana" w:hAnsi="Verdana"/>
          <w:sz w:val="24"/>
          <w:szCs w:val="24"/>
          <w:lang w:val="en"/>
        </w:rPr>
        <w:t xml:space="preserve">-BMI indices and </w:t>
      </w:r>
      <w:proofErr w:type="spellStart"/>
      <w:r w:rsidRPr="008E16F9">
        <w:rPr>
          <w:rFonts w:ascii="Verdana" w:hAnsi="Verdana"/>
          <w:sz w:val="24"/>
          <w:szCs w:val="24"/>
          <w:lang w:val="en"/>
        </w:rPr>
        <w:t>dysglycemia</w:t>
      </w:r>
      <w:proofErr w:type="spellEnd"/>
      <w:r w:rsidRPr="008E16F9">
        <w:rPr>
          <w:rFonts w:ascii="Verdana" w:hAnsi="Verdana"/>
          <w:sz w:val="24"/>
          <w:szCs w:val="24"/>
          <w:lang w:val="en"/>
        </w:rPr>
        <w:t xml:space="preserve"> detected by 1- and 2-hour glucose tolerance tests.</w:t>
      </w:r>
    </w:p>
    <w:p w14:paraId="4AA45D6D" w14:textId="61BB214F" w:rsidR="007A4A4A" w:rsidRPr="00946482" w:rsidRDefault="007A4A4A" w:rsidP="007A4A4A">
      <w:pPr>
        <w:spacing w:line="240" w:lineRule="auto"/>
        <w:jc w:val="both"/>
        <w:rPr>
          <w:rFonts w:ascii="Verdana" w:hAnsi="Verdana"/>
          <w:sz w:val="24"/>
          <w:szCs w:val="24"/>
          <w:lang w:val="en-US"/>
        </w:rPr>
      </w:pPr>
      <w:r w:rsidRPr="00946482">
        <w:rPr>
          <w:rFonts w:ascii="Verdana" w:hAnsi="Verdana"/>
          <w:b/>
          <w:sz w:val="24"/>
          <w:szCs w:val="24"/>
          <w:lang w:val="en-US"/>
        </w:rPr>
        <w:t>Materials and methods</w:t>
      </w:r>
      <w:r w:rsidRPr="00946482">
        <w:rPr>
          <w:rFonts w:ascii="Verdana" w:hAnsi="Verdana"/>
          <w:sz w:val="24"/>
          <w:szCs w:val="24"/>
          <w:lang w:val="en-US"/>
        </w:rPr>
        <w:t xml:space="preserve">: A cross-sectional, analytical study was conducted at the “Dr. Mario Muñoz Monroy” Military Hospital in Matanzas, Cuba, between February and May 2025. A total of 586 workers were included, who underwent clinical evaluation, biochemical and anthropometric parameter measurements, and 1h and 2h PTG according to inclusion criteria. The </w:t>
      </w:r>
      <w:proofErr w:type="spellStart"/>
      <w:r w:rsidRPr="00946482">
        <w:rPr>
          <w:rFonts w:ascii="Verdana" w:hAnsi="Verdana"/>
          <w:sz w:val="24"/>
          <w:szCs w:val="24"/>
          <w:lang w:val="en-US"/>
        </w:rPr>
        <w:t>TyG</w:t>
      </w:r>
      <w:proofErr w:type="spellEnd"/>
      <w:r w:rsidRPr="00946482">
        <w:rPr>
          <w:rFonts w:ascii="Verdana" w:hAnsi="Verdana"/>
          <w:sz w:val="24"/>
          <w:szCs w:val="24"/>
          <w:lang w:val="en-US"/>
        </w:rPr>
        <w:t xml:space="preserve"> and </w:t>
      </w:r>
      <w:proofErr w:type="spellStart"/>
      <w:r w:rsidRPr="00946482">
        <w:rPr>
          <w:rFonts w:ascii="Verdana" w:hAnsi="Verdana"/>
          <w:sz w:val="24"/>
          <w:szCs w:val="24"/>
          <w:lang w:val="en-US"/>
        </w:rPr>
        <w:t>TyG</w:t>
      </w:r>
      <w:proofErr w:type="spellEnd"/>
      <w:r w:rsidRPr="00946482">
        <w:rPr>
          <w:rFonts w:ascii="Verdana" w:hAnsi="Verdana"/>
          <w:sz w:val="24"/>
          <w:szCs w:val="24"/>
          <w:lang w:val="en-US"/>
        </w:rPr>
        <w:t>-BMI values were analyzed according to glycemic status, and their diagnostic capacity was assessed using ROC curves.</w:t>
      </w:r>
    </w:p>
    <w:p w14:paraId="1052BFE4" w14:textId="4A4E9311" w:rsidR="007A4A4A" w:rsidRPr="00946482" w:rsidRDefault="007A4A4A" w:rsidP="007A4A4A">
      <w:pPr>
        <w:spacing w:line="240" w:lineRule="auto"/>
        <w:jc w:val="both"/>
        <w:rPr>
          <w:rFonts w:ascii="Verdana" w:hAnsi="Verdana"/>
          <w:sz w:val="24"/>
          <w:szCs w:val="24"/>
          <w:lang w:val="en-US"/>
        </w:rPr>
      </w:pPr>
      <w:r w:rsidRPr="00946482">
        <w:rPr>
          <w:rFonts w:ascii="Verdana" w:hAnsi="Verdana"/>
          <w:b/>
          <w:sz w:val="24"/>
          <w:szCs w:val="24"/>
          <w:lang w:val="en-US"/>
        </w:rPr>
        <w:t>Results</w:t>
      </w:r>
      <w:r w:rsidRPr="00946482">
        <w:rPr>
          <w:rFonts w:ascii="Verdana" w:hAnsi="Verdana"/>
          <w:sz w:val="24"/>
          <w:szCs w:val="24"/>
          <w:lang w:val="en-US"/>
        </w:rPr>
        <w:t xml:space="preserve">: 80% of participants were overweight or obese. The 1h PTG detected 94 cases of </w:t>
      </w:r>
      <w:proofErr w:type="spellStart"/>
      <w:r w:rsidRPr="00946482">
        <w:rPr>
          <w:rFonts w:ascii="Verdana" w:hAnsi="Verdana"/>
          <w:sz w:val="24"/>
          <w:szCs w:val="24"/>
          <w:lang w:val="en-US"/>
        </w:rPr>
        <w:t>dysglycemia</w:t>
      </w:r>
      <w:proofErr w:type="spellEnd"/>
      <w:r w:rsidRPr="00946482">
        <w:rPr>
          <w:rFonts w:ascii="Verdana" w:hAnsi="Verdana"/>
          <w:sz w:val="24"/>
          <w:szCs w:val="24"/>
          <w:lang w:val="en-US"/>
        </w:rPr>
        <w:t xml:space="preserve">, 14 more than the 2h PTG. Both the </w:t>
      </w:r>
      <w:proofErr w:type="spellStart"/>
      <w:r w:rsidRPr="00946482">
        <w:rPr>
          <w:rFonts w:ascii="Verdana" w:hAnsi="Verdana"/>
          <w:sz w:val="24"/>
          <w:szCs w:val="24"/>
          <w:lang w:val="en-US"/>
        </w:rPr>
        <w:t>TyG</w:t>
      </w:r>
      <w:proofErr w:type="spellEnd"/>
      <w:r w:rsidRPr="00946482">
        <w:rPr>
          <w:rFonts w:ascii="Verdana" w:hAnsi="Verdana"/>
          <w:sz w:val="24"/>
          <w:szCs w:val="24"/>
          <w:lang w:val="en-US"/>
        </w:rPr>
        <w:t xml:space="preserve"> and </w:t>
      </w:r>
      <w:proofErr w:type="spellStart"/>
      <w:r w:rsidRPr="00946482">
        <w:rPr>
          <w:rFonts w:ascii="Verdana" w:hAnsi="Verdana"/>
          <w:sz w:val="24"/>
          <w:szCs w:val="24"/>
          <w:lang w:val="en-US"/>
        </w:rPr>
        <w:t>TyG</w:t>
      </w:r>
      <w:proofErr w:type="spellEnd"/>
      <w:r w:rsidRPr="00946482">
        <w:rPr>
          <w:rFonts w:ascii="Verdana" w:hAnsi="Verdana"/>
          <w:sz w:val="24"/>
          <w:szCs w:val="24"/>
          <w:lang w:val="en-US"/>
        </w:rPr>
        <w:t xml:space="preserve">-BMI indices increased significantly with deteriorating glycemic status (p &lt; 0.001). The area under the curve for the diagnosis of </w:t>
      </w:r>
      <w:proofErr w:type="spellStart"/>
      <w:r w:rsidRPr="00946482">
        <w:rPr>
          <w:rFonts w:ascii="Verdana" w:hAnsi="Verdana"/>
          <w:sz w:val="24"/>
          <w:szCs w:val="24"/>
          <w:lang w:val="en-US"/>
        </w:rPr>
        <w:t>dysglycemia</w:t>
      </w:r>
      <w:proofErr w:type="spellEnd"/>
      <w:r w:rsidRPr="00946482">
        <w:rPr>
          <w:rFonts w:ascii="Verdana" w:hAnsi="Verdana"/>
          <w:sz w:val="24"/>
          <w:szCs w:val="24"/>
          <w:lang w:val="en-US"/>
        </w:rPr>
        <w:t xml:space="preserve"> was ≥ 0.77 for both indices, being higher when the PTG-2h was used.</w:t>
      </w:r>
    </w:p>
    <w:p w14:paraId="436CDA6D" w14:textId="77747885" w:rsidR="007A4A4A" w:rsidRPr="00946482" w:rsidRDefault="007A4A4A" w:rsidP="00770C48">
      <w:pPr>
        <w:rPr>
          <w:rFonts w:ascii="Verdana" w:hAnsi="Verdana"/>
          <w:sz w:val="24"/>
          <w:szCs w:val="24"/>
          <w:lang w:val="en-US"/>
        </w:rPr>
      </w:pPr>
      <w:r w:rsidRPr="00946482">
        <w:rPr>
          <w:rFonts w:ascii="Verdana" w:hAnsi="Verdana"/>
          <w:b/>
          <w:sz w:val="24"/>
          <w:szCs w:val="24"/>
          <w:lang w:val="en-US"/>
        </w:rPr>
        <w:t>Conclusions</w:t>
      </w:r>
      <w:r w:rsidRPr="00946482">
        <w:rPr>
          <w:rFonts w:ascii="Verdana" w:hAnsi="Verdana"/>
          <w:sz w:val="24"/>
          <w:szCs w:val="24"/>
          <w:lang w:val="en-US"/>
        </w:rPr>
        <w:t xml:space="preserve">: </w:t>
      </w:r>
      <w:r w:rsidR="008E16F9">
        <w:rPr>
          <w:rFonts w:ascii="Verdana" w:hAnsi="Verdana"/>
          <w:sz w:val="24"/>
          <w:szCs w:val="24"/>
          <w:lang w:val="en-US"/>
        </w:rPr>
        <w:t>The 1h-</w:t>
      </w:r>
      <w:r w:rsidR="008E16F9" w:rsidRPr="008E16F9">
        <w:rPr>
          <w:rFonts w:ascii="Verdana" w:hAnsi="Verdana"/>
          <w:sz w:val="24"/>
          <w:szCs w:val="24"/>
          <w:lang w:val="en-US"/>
        </w:rPr>
        <w:t xml:space="preserve">GTT detects more </w:t>
      </w:r>
      <w:proofErr w:type="spellStart"/>
      <w:r w:rsidR="008E16F9" w:rsidRPr="008E16F9">
        <w:rPr>
          <w:rFonts w:ascii="Verdana" w:hAnsi="Verdana"/>
          <w:sz w:val="24"/>
          <w:szCs w:val="24"/>
          <w:lang w:val="en-US"/>
        </w:rPr>
        <w:t>dysglycemia</w:t>
      </w:r>
      <w:proofErr w:type="spellEnd"/>
      <w:r w:rsidR="008E16F9" w:rsidRPr="008E16F9">
        <w:rPr>
          <w:rFonts w:ascii="Verdana" w:hAnsi="Verdana"/>
          <w:sz w:val="24"/>
          <w:szCs w:val="24"/>
          <w:lang w:val="en-US"/>
        </w:rPr>
        <w:t xml:space="preserve"> than the 2-hour GTT. The </w:t>
      </w:r>
      <w:proofErr w:type="spellStart"/>
      <w:r w:rsidR="008E16F9" w:rsidRPr="008E16F9">
        <w:rPr>
          <w:rFonts w:ascii="Verdana" w:hAnsi="Verdana"/>
          <w:sz w:val="24"/>
          <w:szCs w:val="24"/>
          <w:lang w:val="en-US"/>
        </w:rPr>
        <w:t>TyG</w:t>
      </w:r>
      <w:proofErr w:type="spellEnd"/>
      <w:r w:rsidR="008E16F9" w:rsidRPr="008E16F9">
        <w:rPr>
          <w:rFonts w:ascii="Verdana" w:hAnsi="Verdana"/>
          <w:sz w:val="24"/>
          <w:szCs w:val="24"/>
          <w:lang w:val="en-US"/>
        </w:rPr>
        <w:t xml:space="preserve"> and </w:t>
      </w:r>
      <w:proofErr w:type="spellStart"/>
      <w:r w:rsidR="008E16F9" w:rsidRPr="008E16F9">
        <w:rPr>
          <w:rFonts w:ascii="Verdana" w:hAnsi="Verdana"/>
          <w:sz w:val="24"/>
          <w:szCs w:val="24"/>
          <w:lang w:val="en-US"/>
        </w:rPr>
        <w:t>TyG</w:t>
      </w:r>
      <w:proofErr w:type="spellEnd"/>
      <w:r w:rsidR="008E16F9" w:rsidRPr="008E16F9">
        <w:rPr>
          <w:rFonts w:ascii="Verdana" w:hAnsi="Verdana"/>
          <w:sz w:val="24"/>
          <w:szCs w:val="24"/>
          <w:lang w:val="en-US"/>
        </w:rPr>
        <w:t xml:space="preserve">-BMI indices are more accurate with 2-hour </w:t>
      </w:r>
      <w:proofErr w:type="gramStart"/>
      <w:r w:rsidR="008E16F9" w:rsidRPr="008E16F9">
        <w:rPr>
          <w:rFonts w:ascii="Verdana" w:hAnsi="Verdana"/>
          <w:sz w:val="24"/>
          <w:szCs w:val="24"/>
          <w:lang w:val="en-US"/>
        </w:rPr>
        <w:t>glucose</w:t>
      </w:r>
      <w:proofErr w:type="gramEnd"/>
      <w:r w:rsidR="008E16F9" w:rsidRPr="008E16F9">
        <w:rPr>
          <w:rFonts w:ascii="Verdana" w:hAnsi="Verdana"/>
          <w:sz w:val="24"/>
          <w:szCs w:val="24"/>
          <w:lang w:val="en-US"/>
        </w:rPr>
        <w:t>, but the 1-hour test is still useful for detecting insulin resistance.</w:t>
      </w:r>
    </w:p>
    <w:p w14:paraId="1852FC98" w14:textId="35DB3A54" w:rsidR="007A4A4A" w:rsidRPr="00946482" w:rsidRDefault="007A4A4A" w:rsidP="007A4A4A">
      <w:pPr>
        <w:spacing w:line="240" w:lineRule="auto"/>
        <w:jc w:val="both"/>
        <w:rPr>
          <w:rFonts w:ascii="Verdana" w:hAnsi="Verdana"/>
          <w:sz w:val="24"/>
          <w:szCs w:val="24"/>
          <w:lang w:val="en-US"/>
        </w:rPr>
      </w:pPr>
      <w:r w:rsidRPr="00946482">
        <w:rPr>
          <w:rFonts w:ascii="Verdana" w:hAnsi="Verdana"/>
          <w:b/>
          <w:sz w:val="24"/>
          <w:szCs w:val="24"/>
          <w:lang w:val="en-US"/>
        </w:rPr>
        <w:lastRenderedPageBreak/>
        <w:t>Key words</w:t>
      </w:r>
      <w:r w:rsidRPr="00946482">
        <w:rPr>
          <w:rFonts w:ascii="Verdana" w:hAnsi="Verdana"/>
          <w:sz w:val="24"/>
          <w:szCs w:val="24"/>
          <w:lang w:val="en-US"/>
        </w:rPr>
        <w:t xml:space="preserve">: diabetes mellitus; prediabetic state; </w:t>
      </w:r>
      <w:r w:rsidR="00F341D1" w:rsidRPr="00946482">
        <w:rPr>
          <w:rFonts w:ascii="Verdana" w:hAnsi="Verdana"/>
          <w:sz w:val="24"/>
          <w:szCs w:val="24"/>
          <w:lang w:val="en-US"/>
        </w:rPr>
        <w:t xml:space="preserve">glucose tolerance test; insulin resistance; </w:t>
      </w:r>
      <w:r w:rsidR="006E3657" w:rsidRPr="00946482">
        <w:rPr>
          <w:rFonts w:ascii="Verdana" w:hAnsi="Verdana"/>
          <w:sz w:val="24"/>
          <w:szCs w:val="24"/>
          <w:lang w:val="en-US"/>
        </w:rPr>
        <w:t>mass screening</w:t>
      </w:r>
    </w:p>
    <w:p w14:paraId="003C55EF" w14:textId="77777777" w:rsidR="007A4A4A" w:rsidRPr="00946482" w:rsidRDefault="007A4A4A" w:rsidP="00025FC1">
      <w:pPr>
        <w:spacing w:line="240" w:lineRule="auto"/>
        <w:jc w:val="both"/>
        <w:rPr>
          <w:rFonts w:ascii="Verdana" w:hAnsi="Verdana"/>
          <w:sz w:val="24"/>
          <w:szCs w:val="24"/>
          <w:lang w:val="en-US"/>
        </w:rPr>
      </w:pPr>
    </w:p>
    <w:p w14:paraId="100511C8" w14:textId="571DBADD" w:rsidR="00025FC1" w:rsidRPr="005D7D3E" w:rsidRDefault="005D7D3E" w:rsidP="00025FC1">
      <w:pPr>
        <w:spacing w:line="240" w:lineRule="auto"/>
        <w:jc w:val="both"/>
        <w:rPr>
          <w:rFonts w:ascii="Verdana" w:hAnsi="Verdana"/>
          <w:b/>
          <w:bCs/>
          <w:sz w:val="24"/>
          <w:szCs w:val="24"/>
        </w:rPr>
      </w:pPr>
      <w:r w:rsidRPr="005D7D3E">
        <w:rPr>
          <w:rFonts w:ascii="Verdana" w:hAnsi="Verdana"/>
          <w:b/>
          <w:bCs/>
          <w:sz w:val="24"/>
          <w:szCs w:val="24"/>
        </w:rPr>
        <w:t>INTRODUCCIÓN</w:t>
      </w:r>
      <w:r w:rsidR="00025FC1" w:rsidRPr="005D7D3E">
        <w:rPr>
          <w:rFonts w:ascii="Verdana" w:hAnsi="Verdana"/>
          <w:b/>
          <w:bCs/>
          <w:sz w:val="24"/>
          <w:szCs w:val="24"/>
        </w:rPr>
        <w:t xml:space="preserve"> </w:t>
      </w:r>
    </w:p>
    <w:p w14:paraId="5FF19F1E" w14:textId="5A8CFF48" w:rsidR="00082B48" w:rsidRDefault="00082B48" w:rsidP="00025FC1">
      <w:pPr>
        <w:spacing w:line="240" w:lineRule="auto"/>
        <w:jc w:val="both"/>
        <w:rPr>
          <w:rFonts w:ascii="Verdana" w:hAnsi="Verdana"/>
          <w:sz w:val="24"/>
          <w:szCs w:val="24"/>
        </w:rPr>
      </w:pPr>
      <w:r w:rsidRPr="00082B48">
        <w:rPr>
          <w:rFonts w:ascii="Verdana" w:hAnsi="Verdana"/>
          <w:sz w:val="24"/>
          <w:szCs w:val="24"/>
        </w:rPr>
        <w:t xml:space="preserve">La resistencia insulínica (RI) es un factor central en la fisiopatología de la diabetes mellitus tipo 2 (DM2), ya que implica una disminución en la capacidad de los tejidos para responder a la insulina, lo que conduce a alteraciones en el metabolismo de la glucosa y lípidos. Esta condición es un precursor </w:t>
      </w:r>
      <w:r w:rsidR="00B6222C">
        <w:rPr>
          <w:rFonts w:ascii="Verdana" w:hAnsi="Verdana"/>
          <w:sz w:val="24"/>
          <w:szCs w:val="24"/>
        </w:rPr>
        <w:t>d</w:t>
      </w:r>
      <w:r w:rsidRPr="00082B48">
        <w:rPr>
          <w:rFonts w:ascii="Verdana" w:hAnsi="Verdana"/>
          <w:sz w:val="24"/>
          <w:szCs w:val="24"/>
        </w:rPr>
        <w:t>el desarrollo de la DM2 y está asociada con un riesgo aumentado de complicaciones cardiovasculares y metabólicas</w:t>
      </w:r>
      <w:proofErr w:type="gramStart"/>
      <w:r w:rsidRPr="00082B48">
        <w:rPr>
          <w:rFonts w:ascii="Verdana" w:hAnsi="Verdana"/>
          <w:sz w:val="24"/>
          <w:szCs w:val="24"/>
        </w:rPr>
        <w:t>.</w:t>
      </w:r>
      <w:r w:rsidR="00946482" w:rsidRPr="00946482">
        <w:rPr>
          <w:rFonts w:ascii="Verdana" w:hAnsi="Verdana"/>
          <w:sz w:val="24"/>
          <w:szCs w:val="24"/>
          <w:vertAlign w:val="superscript"/>
        </w:rPr>
        <w:t>(</w:t>
      </w:r>
      <w:proofErr w:type="gramEnd"/>
      <w:r w:rsidR="00946482" w:rsidRPr="00946482">
        <w:rPr>
          <w:rFonts w:ascii="Verdana" w:hAnsi="Verdana"/>
          <w:sz w:val="24"/>
          <w:szCs w:val="24"/>
          <w:vertAlign w:val="superscript"/>
        </w:rPr>
        <w:t>1,2)</w:t>
      </w:r>
    </w:p>
    <w:p w14:paraId="3018489B" w14:textId="25F4A6D2" w:rsidR="00501EA1" w:rsidRDefault="00501EA1" w:rsidP="00025FC1">
      <w:pPr>
        <w:spacing w:line="240" w:lineRule="auto"/>
        <w:jc w:val="both"/>
        <w:rPr>
          <w:rFonts w:ascii="Verdana" w:hAnsi="Verdana"/>
          <w:sz w:val="24"/>
          <w:szCs w:val="24"/>
        </w:rPr>
      </w:pPr>
      <w:r w:rsidRPr="00501EA1">
        <w:rPr>
          <w:rFonts w:ascii="Verdana" w:hAnsi="Verdana"/>
          <w:sz w:val="24"/>
          <w:szCs w:val="24"/>
        </w:rPr>
        <w:t>La medición directa de la RI es compleja y requiere métodos especializado</w:t>
      </w:r>
      <w:r w:rsidR="00F0342C">
        <w:rPr>
          <w:rFonts w:ascii="Verdana" w:hAnsi="Verdana"/>
          <w:sz w:val="24"/>
          <w:szCs w:val="24"/>
        </w:rPr>
        <w:t>s,</w:t>
      </w:r>
      <w:r w:rsidRPr="00501EA1">
        <w:rPr>
          <w:rFonts w:ascii="Verdana" w:hAnsi="Verdana"/>
          <w:sz w:val="24"/>
          <w:szCs w:val="24"/>
        </w:rPr>
        <w:t xml:space="preserve"> la pinza </w:t>
      </w:r>
      <w:proofErr w:type="spellStart"/>
      <w:r w:rsidRPr="00501EA1">
        <w:rPr>
          <w:rFonts w:ascii="Verdana" w:hAnsi="Verdana"/>
          <w:sz w:val="24"/>
          <w:szCs w:val="24"/>
        </w:rPr>
        <w:t>euglucémica-hiperinsulinémica</w:t>
      </w:r>
      <w:proofErr w:type="spellEnd"/>
      <w:r w:rsidR="00F0342C">
        <w:rPr>
          <w:rFonts w:ascii="Verdana" w:hAnsi="Verdana"/>
          <w:sz w:val="24"/>
          <w:szCs w:val="24"/>
        </w:rPr>
        <w:t xml:space="preserve"> es</w:t>
      </w:r>
      <w:r w:rsidRPr="00501EA1">
        <w:rPr>
          <w:rFonts w:ascii="Verdana" w:hAnsi="Verdana"/>
          <w:sz w:val="24"/>
          <w:szCs w:val="24"/>
        </w:rPr>
        <w:t xml:space="preserve"> el estándar de referencia</w:t>
      </w:r>
      <w:proofErr w:type="gramStart"/>
      <w:r w:rsidRPr="00501EA1">
        <w:rPr>
          <w:rFonts w:ascii="Verdana" w:hAnsi="Verdana"/>
          <w:sz w:val="24"/>
          <w:szCs w:val="24"/>
        </w:rPr>
        <w:t>.</w:t>
      </w:r>
      <w:r w:rsidR="00946482" w:rsidRPr="00946482">
        <w:rPr>
          <w:rFonts w:ascii="Verdana" w:hAnsi="Verdana"/>
          <w:sz w:val="24"/>
          <w:szCs w:val="24"/>
          <w:vertAlign w:val="superscript"/>
        </w:rPr>
        <w:t>(</w:t>
      </w:r>
      <w:proofErr w:type="gramEnd"/>
      <w:r w:rsidR="00946482" w:rsidRPr="00946482">
        <w:rPr>
          <w:rFonts w:ascii="Verdana" w:hAnsi="Verdana"/>
          <w:sz w:val="24"/>
          <w:szCs w:val="24"/>
          <w:vertAlign w:val="superscript"/>
        </w:rPr>
        <w:t>3)</w:t>
      </w:r>
      <w:r w:rsidR="00856F9F">
        <w:rPr>
          <w:rFonts w:ascii="Verdana" w:hAnsi="Verdana"/>
          <w:sz w:val="24"/>
          <w:szCs w:val="24"/>
        </w:rPr>
        <w:t xml:space="preserve"> Sin embargo, este método es caro</w:t>
      </w:r>
      <w:r w:rsidR="00556625">
        <w:rPr>
          <w:rFonts w:ascii="Verdana" w:hAnsi="Verdana"/>
          <w:sz w:val="24"/>
          <w:szCs w:val="24"/>
        </w:rPr>
        <w:t xml:space="preserve"> y muy laborioso lo que limita su uso fundamentalmente a investigaciones científicas</w:t>
      </w:r>
      <w:r w:rsidRPr="00501EA1">
        <w:rPr>
          <w:rFonts w:ascii="Verdana" w:hAnsi="Verdana"/>
          <w:sz w:val="24"/>
          <w:szCs w:val="24"/>
        </w:rPr>
        <w:t xml:space="preserve">. Por ello, se utilizan métodos indirectos como el HOMA-IR y el QUICKI, que aunque más accesibles, dependen de la medición de insulina, </w:t>
      </w:r>
      <w:r w:rsidR="00E91EAA">
        <w:rPr>
          <w:rFonts w:ascii="Verdana" w:hAnsi="Verdana"/>
          <w:sz w:val="24"/>
          <w:szCs w:val="24"/>
        </w:rPr>
        <w:t>esto</w:t>
      </w:r>
      <w:r w:rsidRPr="00501EA1">
        <w:rPr>
          <w:rFonts w:ascii="Verdana" w:hAnsi="Verdana"/>
          <w:sz w:val="24"/>
          <w:szCs w:val="24"/>
        </w:rPr>
        <w:t xml:space="preserve"> </w:t>
      </w:r>
      <w:r w:rsidR="00556625">
        <w:rPr>
          <w:rFonts w:ascii="Verdana" w:hAnsi="Verdana"/>
          <w:sz w:val="24"/>
          <w:szCs w:val="24"/>
        </w:rPr>
        <w:t xml:space="preserve">también </w:t>
      </w:r>
      <w:r w:rsidR="00E91EAA">
        <w:rPr>
          <w:rFonts w:ascii="Verdana" w:hAnsi="Verdana"/>
          <w:sz w:val="24"/>
          <w:szCs w:val="24"/>
        </w:rPr>
        <w:t>dificulta</w:t>
      </w:r>
      <w:r w:rsidRPr="00501EA1">
        <w:rPr>
          <w:rFonts w:ascii="Verdana" w:hAnsi="Verdana"/>
          <w:sz w:val="24"/>
          <w:szCs w:val="24"/>
        </w:rPr>
        <w:t xml:space="preserve"> su uso en</w:t>
      </w:r>
      <w:r w:rsidR="005440F8">
        <w:rPr>
          <w:rFonts w:ascii="Verdana" w:hAnsi="Verdana"/>
          <w:sz w:val="24"/>
          <w:szCs w:val="24"/>
        </w:rPr>
        <w:t xml:space="preserve"> la</w:t>
      </w:r>
      <w:r w:rsidRPr="00501EA1">
        <w:rPr>
          <w:rFonts w:ascii="Verdana" w:hAnsi="Verdana"/>
          <w:sz w:val="24"/>
          <w:szCs w:val="24"/>
        </w:rPr>
        <w:t xml:space="preserve"> </w:t>
      </w:r>
      <w:r w:rsidR="00C92538">
        <w:rPr>
          <w:rFonts w:ascii="Verdana" w:hAnsi="Verdana"/>
          <w:sz w:val="24"/>
          <w:szCs w:val="24"/>
        </w:rPr>
        <w:t>práctica clínica cotidiana</w:t>
      </w:r>
      <w:proofErr w:type="gramStart"/>
      <w:r w:rsidRPr="00501EA1">
        <w:rPr>
          <w:rFonts w:ascii="Verdana" w:hAnsi="Verdana"/>
          <w:sz w:val="24"/>
          <w:szCs w:val="24"/>
        </w:rPr>
        <w:t>.</w:t>
      </w:r>
      <w:r w:rsidR="00946482" w:rsidRPr="00946482">
        <w:rPr>
          <w:rFonts w:ascii="Verdana" w:hAnsi="Verdana"/>
          <w:sz w:val="24"/>
          <w:szCs w:val="24"/>
          <w:vertAlign w:val="superscript"/>
        </w:rPr>
        <w:t>(</w:t>
      </w:r>
      <w:proofErr w:type="gramEnd"/>
      <w:r w:rsidR="00946482" w:rsidRPr="00946482">
        <w:rPr>
          <w:rFonts w:ascii="Verdana" w:hAnsi="Verdana"/>
          <w:sz w:val="24"/>
          <w:szCs w:val="24"/>
          <w:vertAlign w:val="superscript"/>
        </w:rPr>
        <w:t>4,5)</w:t>
      </w:r>
    </w:p>
    <w:p w14:paraId="5D6C3B9E" w14:textId="34476F28" w:rsidR="001B10AF" w:rsidRDefault="001B10AF" w:rsidP="00025FC1">
      <w:pPr>
        <w:spacing w:line="240" w:lineRule="auto"/>
        <w:jc w:val="both"/>
        <w:rPr>
          <w:rFonts w:ascii="Verdana" w:hAnsi="Verdana"/>
          <w:sz w:val="24"/>
          <w:szCs w:val="24"/>
        </w:rPr>
      </w:pPr>
      <w:r w:rsidRPr="001B10AF">
        <w:rPr>
          <w:rFonts w:ascii="Verdana" w:hAnsi="Verdana"/>
          <w:sz w:val="24"/>
          <w:szCs w:val="24"/>
        </w:rPr>
        <w:t>En este contexto, los índices subrogados de resistencia insulínica basados en parámetros metabólicos y antropométricos, como el índice triglicéridos-glucosa (</w:t>
      </w:r>
      <w:proofErr w:type="spellStart"/>
      <w:r w:rsidRPr="001B10AF">
        <w:rPr>
          <w:rFonts w:ascii="Verdana" w:hAnsi="Verdana"/>
          <w:sz w:val="24"/>
          <w:szCs w:val="24"/>
        </w:rPr>
        <w:t>TyG</w:t>
      </w:r>
      <w:proofErr w:type="spellEnd"/>
      <w:r w:rsidRPr="001B10AF">
        <w:rPr>
          <w:rFonts w:ascii="Verdana" w:hAnsi="Verdana"/>
          <w:sz w:val="24"/>
          <w:szCs w:val="24"/>
        </w:rPr>
        <w:t>) y el índice triglicéridos-glu</w:t>
      </w:r>
      <w:r w:rsidR="00087D43">
        <w:rPr>
          <w:rFonts w:ascii="Verdana" w:hAnsi="Verdana"/>
          <w:sz w:val="24"/>
          <w:szCs w:val="24"/>
        </w:rPr>
        <w:t>cosa-IMC (</w:t>
      </w:r>
      <w:proofErr w:type="spellStart"/>
      <w:r w:rsidR="00087D43">
        <w:rPr>
          <w:rFonts w:ascii="Verdana" w:hAnsi="Verdana"/>
          <w:sz w:val="24"/>
          <w:szCs w:val="24"/>
        </w:rPr>
        <w:t>TyG</w:t>
      </w:r>
      <w:proofErr w:type="spellEnd"/>
      <w:r w:rsidR="00087D43">
        <w:rPr>
          <w:rFonts w:ascii="Verdana" w:hAnsi="Verdana"/>
          <w:sz w:val="24"/>
          <w:szCs w:val="24"/>
        </w:rPr>
        <w:t>-IMC), se proponen</w:t>
      </w:r>
      <w:r w:rsidRPr="001B10AF">
        <w:rPr>
          <w:rFonts w:ascii="Verdana" w:hAnsi="Verdana"/>
          <w:sz w:val="24"/>
          <w:szCs w:val="24"/>
        </w:rPr>
        <w:t xml:space="preserve"> como herramientas prácticas y económicas. Estos índices solo requieren análisis de laboratorio de rutina y datos antropométricos simples, lo que facilita su aplicación en la práctica clínica y en estudios epidemiológicos. Además, han demostrado correlaciones significativas con métodos de referencia y utilidad para identificar resistencia insulínica en diferentes poblaciones</w:t>
      </w:r>
      <w:proofErr w:type="gramStart"/>
      <w:r w:rsidRPr="001B10AF">
        <w:rPr>
          <w:rFonts w:ascii="Verdana" w:hAnsi="Verdana"/>
          <w:sz w:val="24"/>
          <w:szCs w:val="24"/>
        </w:rPr>
        <w:t>.</w:t>
      </w:r>
      <w:r w:rsidR="00946482" w:rsidRPr="00946482">
        <w:rPr>
          <w:rFonts w:ascii="Verdana" w:hAnsi="Verdana"/>
          <w:sz w:val="24"/>
          <w:szCs w:val="24"/>
          <w:vertAlign w:val="superscript"/>
        </w:rPr>
        <w:t>(</w:t>
      </w:r>
      <w:proofErr w:type="gramEnd"/>
      <w:r w:rsidR="00946482" w:rsidRPr="00946482">
        <w:rPr>
          <w:rFonts w:ascii="Verdana" w:hAnsi="Verdana"/>
          <w:sz w:val="24"/>
          <w:szCs w:val="24"/>
          <w:vertAlign w:val="superscript"/>
        </w:rPr>
        <w:t>6,7)</w:t>
      </w:r>
    </w:p>
    <w:p w14:paraId="5F3F827E" w14:textId="185323B1" w:rsidR="00B6222C" w:rsidRDefault="00B6222C" w:rsidP="00B6222C">
      <w:pPr>
        <w:spacing w:line="240" w:lineRule="auto"/>
        <w:jc w:val="both"/>
        <w:rPr>
          <w:rFonts w:ascii="Verdana" w:hAnsi="Verdana"/>
          <w:sz w:val="24"/>
          <w:szCs w:val="24"/>
        </w:rPr>
      </w:pPr>
      <w:r w:rsidRPr="00B6222C">
        <w:rPr>
          <w:rFonts w:ascii="Verdana" w:hAnsi="Verdana"/>
          <w:sz w:val="24"/>
          <w:szCs w:val="24"/>
        </w:rPr>
        <w:t>Por otra parte, la pru</w:t>
      </w:r>
      <w:r w:rsidR="00947161">
        <w:rPr>
          <w:rFonts w:ascii="Verdana" w:hAnsi="Verdana"/>
          <w:sz w:val="24"/>
          <w:szCs w:val="24"/>
        </w:rPr>
        <w:t>eba de tolerancia a la glucosa de</w:t>
      </w:r>
      <w:r w:rsidRPr="00B6222C">
        <w:rPr>
          <w:rFonts w:ascii="Verdana" w:hAnsi="Verdana"/>
          <w:sz w:val="24"/>
          <w:szCs w:val="24"/>
        </w:rPr>
        <w:t xml:space="preserve"> 1 hora (PTG-1h) </w:t>
      </w:r>
      <w:r w:rsidR="00C865E7">
        <w:rPr>
          <w:rFonts w:ascii="Verdana" w:hAnsi="Verdana"/>
          <w:sz w:val="24"/>
          <w:szCs w:val="24"/>
        </w:rPr>
        <w:t>ha sido presentada</w:t>
      </w:r>
      <w:r w:rsidRPr="00B6222C">
        <w:rPr>
          <w:rFonts w:ascii="Verdana" w:hAnsi="Verdana"/>
          <w:sz w:val="24"/>
          <w:szCs w:val="24"/>
        </w:rPr>
        <w:t xml:space="preserve"> como una</w:t>
      </w:r>
      <w:r w:rsidR="00C865E7">
        <w:rPr>
          <w:rFonts w:ascii="Verdana" w:hAnsi="Verdana"/>
          <w:sz w:val="24"/>
          <w:szCs w:val="24"/>
        </w:rPr>
        <w:t xml:space="preserve"> nueva</w:t>
      </w:r>
      <w:r w:rsidRPr="00B6222C">
        <w:rPr>
          <w:rFonts w:ascii="Verdana" w:hAnsi="Verdana"/>
          <w:sz w:val="24"/>
          <w:szCs w:val="24"/>
        </w:rPr>
        <w:t xml:space="preserve"> herramienta para la detección temprana de alteraciones en el metabolismo </w:t>
      </w:r>
      <w:r w:rsidR="00F976D1">
        <w:rPr>
          <w:rFonts w:ascii="Verdana" w:hAnsi="Verdana"/>
          <w:sz w:val="24"/>
          <w:szCs w:val="24"/>
        </w:rPr>
        <w:t>glucídico</w:t>
      </w:r>
      <w:r w:rsidRPr="00B6222C">
        <w:rPr>
          <w:rFonts w:ascii="Verdana" w:hAnsi="Verdana"/>
          <w:sz w:val="24"/>
          <w:szCs w:val="24"/>
        </w:rPr>
        <w:t>, potencialmente más s</w:t>
      </w:r>
      <w:r w:rsidR="00947161">
        <w:rPr>
          <w:rFonts w:ascii="Verdana" w:hAnsi="Verdana"/>
          <w:sz w:val="24"/>
          <w:szCs w:val="24"/>
        </w:rPr>
        <w:t>ensible que la prueba estándar de</w:t>
      </w:r>
      <w:r w:rsidRPr="00B6222C">
        <w:rPr>
          <w:rFonts w:ascii="Verdana" w:hAnsi="Verdana"/>
          <w:sz w:val="24"/>
          <w:szCs w:val="24"/>
        </w:rPr>
        <w:t xml:space="preserve"> 2 horas para identificar </w:t>
      </w:r>
      <w:proofErr w:type="spellStart"/>
      <w:r w:rsidRPr="00B6222C">
        <w:rPr>
          <w:rFonts w:ascii="Verdana" w:hAnsi="Verdana"/>
          <w:sz w:val="24"/>
          <w:szCs w:val="24"/>
        </w:rPr>
        <w:t>disgluc</w:t>
      </w:r>
      <w:r w:rsidR="00BD7659">
        <w:rPr>
          <w:rFonts w:ascii="Verdana" w:hAnsi="Verdana"/>
          <w:sz w:val="24"/>
          <w:szCs w:val="24"/>
        </w:rPr>
        <w:t>emia</w:t>
      </w:r>
      <w:proofErr w:type="spellEnd"/>
      <w:r w:rsidRPr="00B6222C">
        <w:rPr>
          <w:rFonts w:ascii="Verdana" w:hAnsi="Verdana"/>
          <w:sz w:val="24"/>
          <w:szCs w:val="24"/>
        </w:rPr>
        <w:t xml:space="preserve"> y riesgo de diabetes.</w:t>
      </w:r>
      <w:r w:rsidR="00947161">
        <w:rPr>
          <w:rFonts w:ascii="Verdana" w:hAnsi="Verdana"/>
          <w:sz w:val="24"/>
          <w:szCs w:val="24"/>
        </w:rPr>
        <w:t xml:space="preserve"> N</w:t>
      </w:r>
      <w:r w:rsidR="00BD7659">
        <w:rPr>
          <w:rFonts w:ascii="Verdana" w:hAnsi="Verdana"/>
          <w:sz w:val="24"/>
          <w:szCs w:val="24"/>
        </w:rPr>
        <w:t>iveles elevados</w:t>
      </w:r>
      <w:r w:rsidR="00947161">
        <w:rPr>
          <w:rFonts w:ascii="Verdana" w:hAnsi="Verdana"/>
          <w:sz w:val="24"/>
          <w:szCs w:val="24"/>
        </w:rPr>
        <w:t xml:space="preserve"> de glucemia a 1h </w:t>
      </w:r>
      <w:r w:rsidR="00947161" w:rsidRPr="00947161">
        <w:rPr>
          <w:rFonts w:ascii="Verdana" w:hAnsi="Verdana"/>
          <w:sz w:val="24"/>
          <w:szCs w:val="24"/>
        </w:rPr>
        <w:t>reflejan una disminución en la sensibilidad a la insulina y una disfunción progresiva de las c</w:t>
      </w:r>
      <w:r w:rsidR="00947161">
        <w:rPr>
          <w:rFonts w:ascii="Verdana" w:hAnsi="Verdana"/>
          <w:sz w:val="24"/>
          <w:szCs w:val="24"/>
        </w:rPr>
        <w:t>élulas beta pancreáticas,</w:t>
      </w:r>
      <w:r w:rsidR="00947161" w:rsidRPr="00947161">
        <w:rPr>
          <w:rFonts w:ascii="Verdana" w:hAnsi="Verdana"/>
          <w:sz w:val="24"/>
          <w:szCs w:val="24"/>
        </w:rPr>
        <w:t xml:space="preserve"> incluso en personas con tolerancia normal a la glucosa</w:t>
      </w:r>
      <w:proofErr w:type="gramStart"/>
      <w:r w:rsidR="00947161" w:rsidRPr="00947161">
        <w:rPr>
          <w:rFonts w:ascii="Verdana" w:hAnsi="Verdana"/>
          <w:sz w:val="24"/>
          <w:szCs w:val="24"/>
        </w:rPr>
        <w:t>.</w:t>
      </w:r>
      <w:r w:rsidR="00946482" w:rsidRPr="00946482">
        <w:rPr>
          <w:rFonts w:ascii="Verdana" w:hAnsi="Verdana"/>
          <w:sz w:val="24"/>
          <w:szCs w:val="24"/>
          <w:vertAlign w:val="superscript"/>
        </w:rPr>
        <w:t>(</w:t>
      </w:r>
      <w:proofErr w:type="gramEnd"/>
      <w:r w:rsidR="00946482" w:rsidRPr="00946482">
        <w:rPr>
          <w:rFonts w:ascii="Verdana" w:hAnsi="Verdana"/>
          <w:sz w:val="24"/>
          <w:szCs w:val="24"/>
          <w:vertAlign w:val="superscript"/>
        </w:rPr>
        <w:t>8)</w:t>
      </w:r>
    </w:p>
    <w:p w14:paraId="48781617" w14:textId="273C2CDE" w:rsidR="0037352D" w:rsidRDefault="0037352D" w:rsidP="00B6222C">
      <w:pPr>
        <w:spacing w:line="240" w:lineRule="auto"/>
        <w:jc w:val="both"/>
        <w:rPr>
          <w:rFonts w:ascii="Verdana" w:hAnsi="Verdana"/>
          <w:sz w:val="24"/>
          <w:szCs w:val="24"/>
        </w:rPr>
      </w:pPr>
      <w:r>
        <w:rPr>
          <w:rFonts w:ascii="Verdana" w:hAnsi="Verdana"/>
          <w:sz w:val="24"/>
          <w:szCs w:val="24"/>
        </w:rPr>
        <w:t>Existe</w:t>
      </w:r>
      <w:r w:rsidRPr="0037352D">
        <w:rPr>
          <w:rFonts w:ascii="Verdana" w:hAnsi="Verdana"/>
          <w:sz w:val="24"/>
          <w:szCs w:val="24"/>
        </w:rPr>
        <w:t xml:space="preserve"> una fuerte asociación entre los niveles de glucosa de la </w:t>
      </w:r>
      <w:r>
        <w:rPr>
          <w:rFonts w:ascii="Verdana" w:hAnsi="Verdana"/>
          <w:sz w:val="24"/>
          <w:szCs w:val="24"/>
        </w:rPr>
        <w:t>PTG-1h</w:t>
      </w:r>
      <w:r w:rsidRPr="0037352D">
        <w:rPr>
          <w:rFonts w:ascii="Verdana" w:hAnsi="Verdana"/>
          <w:sz w:val="24"/>
          <w:szCs w:val="24"/>
        </w:rPr>
        <w:t xml:space="preserve"> y los índices </w:t>
      </w:r>
      <w:r w:rsidR="00F976D1" w:rsidRPr="001B10AF">
        <w:rPr>
          <w:rFonts w:ascii="Verdana" w:hAnsi="Verdana"/>
          <w:sz w:val="24"/>
          <w:szCs w:val="24"/>
        </w:rPr>
        <w:t>subrogados</w:t>
      </w:r>
      <w:r w:rsidRPr="0037352D">
        <w:rPr>
          <w:rFonts w:ascii="Verdana" w:hAnsi="Verdana"/>
          <w:sz w:val="24"/>
          <w:szCs w:val="24"/>
        </w:rPr>
        <w:t xml:space="preserve"> de resistencia a la insulina, especialmente el índice triglicéridos-glucosa (</w:t>
      </w:r>
      <w:proofErr w:type="spellStart"/>
      <w:r w:rsidRPr="0037352D">
        <w:rPr>
          <w:rFonts w:ascii="Verdana" w:hAnsi="Verdana"/>
          <w:sz w:val="24"/>
          <w:szCs w:val="24"/>
        </w:rPr>
        <w:t>TyG</w:t>
      </w:r>
      <w:proofErr w:type="spellEnd"/>
      <w:r w:rsidRPr="0037352D">
        <w:rPr>
          <w:rFonts w:ascii="Verdana" w:hAnsi="Verdana"/>
          <w:sz w:val="24"/>
          <w:szCs w:val="24"/>
        </w:rPr>
        <w:t>). Los individuos con glucosa elevada en 1h</w:t>
      </w:r>
      <w:r>
        <w:rPr>
          <w:rFonts w:ascii="Verdana" w:hAnsi="Verdana"/>
          <w:sz w:val="24"/>
          <w:szCs w:val="24"/>
        </w:rPr>
        <w:t xml:space="preserve"> (≥ 8,6</w:t>
      </w:r>
      <w:r w:rsidRPr="0037352D">
        <w:rPr>
          <w:rFonts w:ascii="Verdana" w:hAnsi="Verdana"/>
          <w:sz w:val="24"/>
          <w:szCs w:val="24"/>
        </w:rPr>
        <w:t xml:space="preserve"> </w:t>
      </w:r>
      <w:r>
        <w:rPr>
          <w:rFonts w:ascii="Verdana" w:hAnsi="Verdana"/>
          <w:sz w:val="24"/>
          <w:szCs w:val="24"/>
        </w:rPr>
        <w:t>mmol/L</w:t>
      </w:r>
      <w:r w:rsidRPr="0037352D">
        <w:rPr>
          <w:rFonts w:ascii="Verdana" w:hAnsi="Verdana"/>
          <w:sz w:val="24"/>
          <w:szCs w:val="24"/>
        </w:rPr>
        <w:t xml:space="preserve">) presentan consistentemente valores de </w:t>
      </w:r>
      <w:proofErr w:type="spellStart"/>
      <w:r w:rsidRPr="0037352D">
        <w:rPr>
          <w:rFonts w:ascii="Verdana" w:hAnsi="Verdana"/>
          <w:sz w:val="24"/>
          <w:szCs w:val="24"/>
        </w:rPr>
        <w:t>TyG</w:t>
      </w:r>
      <w:proofErr w:type="spellEnd"/>
      <w:r w:rsidRPr="0037352D">
        <w:rPr>
          <w:rFonts w:ascii="Verdana" w:hAnsi="Verdana"/>
          <w:sz w:val="24"/>
          <w:szCs w:val="24"/>
        </w:rPr>
        <w:t xml:space="preserve"> más altos, lo que indica una mayor resistencia a la insulina</w:t>
      </w:r>
      <w:proofErr w:type="gramStart"/>
      <w:r w:rsidRPr="0037352D">
        <w:rPr>
          <w:rFonts w:ascii="Verdana" w:hAnsi="Verdana"/>
          <w:sz w:val="24"/>
          <w:szCs w:val="24"/>
        </w:rPr>
        <w:t>.</w:t>
      </w:r>
      <w:r w:rsidR="00946482" w:rsidRPr="00946482">
        <w:rPr>
          <w:rFonts w:ascii="Verdana" w:hAnsi="Verdana"/>
          <w:sz w:val="24"/>
          <w:szCs w:val="24"/>
          <w:vertAlign w:val="superscript"/>
        </w:rPr>
        <w:t>(</w:t>
      </w:r>
      <w:proofErr w:type="gramEnd"/>
      <w:r w:rsidR="00946482" w:rsidRPr="00946482">
        <w:rPr>
          <w:rFonts w:ascii="Verdana" w:hAnsi="Verdana"/>
          <w:sz w:val="24"/>
          <w:szCs w:val="24"/>
          <w:vertAlign w:val="superscript"/>
        </w:rPr>
        <w:t>9)</w:t>
      </w:r>
      <w:r w:rsidRPr="0037352D">
        <w:rPr>
          <w:rFonts w:ascii="Verdana" w:hAnsi="Verdana"/>
          <w:sz w:val="24"/>
          <w:szCs w:val="24"/>
        </w:rPr>
        <w:t xml:space="preserve"> El índice </w:t>
      </w:r>
      <w:proofErr w:type="spellStart"/>
      <w:r w:rsidRPr="0037352D">
        <w:rPr>
          <w:rFonts w:ascii="Verdana" w:hAnsi="Verdana"/>
          <w:sz w:val="24"/>
          <w:szCs w:val="24"/>
        </w:rPr>
        <w:t>TyG</w:t>
      </w:r>
      <w:proofErr w:type="spellEnd"/>
      <w:r w:rsidRPr="0037352D">
        <w:rPr>
          <w:rFonts w:ascii="Verdana" w:hAnsi="Verdana"/>
          <w:sz w:val="24"/>
          <w:szCs w:val="24"/>
        </w:rPr>
        <w:t xml:space="preserve"> predice de forma independiente los niveles de glucosa en 1 hora y está </w:t>
      </w:r>
      <w:r w:rsidRPr="0037352D">
        <w:rPr>
          <w:rFonts w:ascii="Verdana" w:hAnsi="Verdana"/>
          <w:sz w:val="24"/>
          <w:szCs w:val="24"/>
        </w:rPr>
        <w:lastRenderedPageBreak/>
        <w:t>relacionado con un riesgo significa</w:t>
      </w:r>
      <w:r w:rsidR="00D73BE8">
        <w:rPr>
          <w:rFonts w:ascii="Verdana" w:hAnsi="Verdana"/>
          <w:sz w:val="24"/>
          <w:szCs w:val="24"/>
        </w:rPr>
        <w:t>tivo</w:t>
      </w:r>
      <w:r w:rsidRPr="0037352D">
        <w:rPr>
          <w:rFonts w:ascii="Verdana" w:hAnsi="Verdana"/>
          <w:sz w:val="24"/>
          <w:szCs w:val="24"/>
        </w:rPr>
        <w:t xml:space="preserve"> mayor de glucosa elevada en 1 hora después de ajustar por factores de confusión. En comparación con índices tradicionales como HOMA-IR y QUICKI, </w:t>
      </w:r>
      <w:proofErr w:type="spellStart"/>
      <w:r w:rsidRPr="0037352D">
        <w:rPr>
          <w:rFonts w:ascii="Verdana" w:hAnsi="Verdana"/>
          <w:sz w:val="24"/>
          <w:szCs w:val="24"/>
        </w:rPr>
        <w:t>TyG</w:t>
      </w:r>
      <w:proofErr w:type="spellEnd"/>
      <w:r w:rsidRPr="0037352D">
        <w:rPr>
          <w:rFonts w:ascii="Verdana" w:hAnsi="Verdana"/>
          <w:sz w:val="24"/>
          <w:szCs w:val="24"/>
        </w:rPr>
        <w:t xml:space="preserve"> demuestra una correlación más fuerte con la gluc</w:t>
      </w:r>
      <w:r w:rsidR="00BC1BDD">
        <w:rPr>
          <w:rFonts w:ascii="Verdana" w:hAnsi="Verdana"/>
          <w:sz w:val="24"/>
          <w:szCs w:val="24"/>
        </w:rPr>
        <w:t>osa en 1h</w:t>
      </w:r>
      <w:r w:rsidRPr="0037352D">
        <w:rPr>
          <w:rFonts w:ascii="Verdana" w:hAnsi="Verdana"/>
          <w:sz w:val="24"/>
          <w:szCs w:val="24"/>
        </w:rPr>
        <w:t xml:space="preserve"> y predice mejor el riesgo </w:t>
      </w:r>
      <w:proofErr w:type="spellStart"/>
      <w:r w:rsidRPr="0037352D">
        <w:rPr>
          <w:rFonts w:ascii="Verdana" w:hAnsi="Verdana"/>
          <w:sz w:val="24"/>
          <w:szCs w:val="24"/>
        </w:rPr>
        <w:t>cardiometabólico</w:t>
      </w:r>
      <w:proofErr w:type="spellEnd"/>
      <w:r w:rsidRPr="0037352D">
        <w:rPr>
          <w:rFonts w:ascii="Verdana" w:hAnsi="Verdana"/>
          <w:sz w:val="24"/>
          <w:szCs w:val="24"/>
        </w:rPr>
        <w:t>, probablemente debido a su incorporación de parámetros lipídicos y glucémicos</w:t>
      </w:r>
      <w:proofErr w:type="gramStart"/>
      <w:r w:rsidRPr="0037352D">
        <w:rPr>
          <w:rFonts w:ascii="Verdana" w:hAnsi="Verdana"/>
          <w:sz w:val="24"/>
          <w:szCs w:val="24"/>
        </w:rPr>
        <w:t>.</w:t>
      </w:r>
      <w:r w:rsidR="00946482" w:rsidRPr="00946482">
        <w:rPr>
          <w:rFonts w:ascii="Verdana" w:hAnsi="Verdana"/>
          <w:sz w:val="24"/>
          <w:szCs w:val="24"/>
          <w:vertAlign w:val="superscript"/>
        </w:rPr>
        <w:t>(</w:t>
      </w:r>
      <w:proofErr w:type="gramEnd"/>
      <w:r w:rsidR="00946482" w:rsidRPr="00946482">
        <w:rPr>
          <w:rFonts w:ascii="Verdana" w:hAnsi="Verdana"/>
          <w:sz w:val="24"/>
          <w:szCs w:val="24"/>
          <w:vertAlign w:val="superscript"/>
        </w:rPr>
        <w:t>10)</w:t>
      </w:r>
    </w:p>
    <w:p w14:paraId="69A2A7D5" w14:textId="0649F771" w:rsidR="00BC1BDD" w:rsidRPr="00B6222C" w:rsidRDefault="00BC1BDD" w:rsidP="00B6222C">
      <w:pPr>
        <w:spacing w:line="240" w:lineRule="auto"/>
        <w:jc w:val="both"/>
        <w:rPr>
          <w:rFonts w:ascii="Verdana" w:hAnsi="Verdana"/>
          <w:sz w:val="24"/>
          <w:szCs w:val="24"/>
        </w:rPr>
      </w:pPr>
      <w:r>
        <w:rPr>
          <w:rFonts w:ascii="Verdana" w:hAnsi="Verdana"/>
          <w:sz w:val="24"/>
          <w:szCs w:val="24"/>
        </w:rPr>
        <w:t>La PTG-1h</w:t>
      </w:r>
      <w:r w:rsidRPr="00BC1BDD">
        <w:rPr>
          <w:rFonts w:ascii="Verdana" w:hAnsi="Verdana"/>
          <w:sz w:val="24"/>
          <w:szCs w:val="24"/>
        </w:rPr>
        <w:t xml:space="preserve"> se reconoce como un marcador más sensible para la resistencia temprana a la insulina y la disfunción de las células β que la prueba estándar de 2 horas. La glucosa elevada en 1 hora identifica a individuos con sensibilidad a la insulina alterada y secreción reducida de insulina en la fase temprana antes de que se desarrolle una intolerancia manifiesta a la glucosa. La combinación de </w:t>
      </w:r>
      <w:r>
        <w:rPr>
          <w:rFonts w:ascii="Verdana" w:hAnsi="Verdana"/>
          <w:sz w:val="24"/>
          <w:szCs w:val="24"/>
        </w:rPr>
        <w:t>PTG-1h</w:t>
      </w:r>
      <w:r w:rsidRPr="00BC1BDD">
        <w:rPr>
          <w:rFonts w:ascii="Verdana" w:hAnsi="Verdana"/>
          <w:sz w:val="24"/>
          <w:szCs w:val="24"/>
        </w:rPr>
        <w:t xml:space="preserve"> con el índice </w:t>
      </w:r>
      <w:proofErr w:type="spellStart"/>
      <w:r w:rsidRPr="00BC1BDD">
        <w:rPr>
          <w:rFonts w:ascii="Verdana" w:hAnsi="Verdana"/>
          <w:sz w:val="24"/>
          <w:szCs w:val="24"/>
        </w:rPr>
        <w:t>TyG</w:t>
      </w:r>
      <w:proofErr w:type="spellEnd"/>
      <w:r w:rsidRPr="00BC1BDD">
        <w:rPr>
          <w:rFonts w:ascii="Verdana" w:hAnsi="Verdana"/>
          <w:sz w:val="24"/>
          <w:szCs w:val="24"/>
        </w:rPr>
        <w:t xml:space="preserve"> proporciona un enfoque no invasivo y rentable para la detección temprana de la resistencia a la insulina y la </w:t>
      </w:r>
      <w:proofErr w:type="spellStart"/>
      <w:r w:rsidRPr="00BC1BDD">
        <w:rPr>
          <w:rFonts w:ascii="Verdana" w:hAnsi="Verdana"/>
          <w:sz w:val="24"/>
          <w:szCs w:val="24"/>
        </w:rPr>
        <w:t>disglucemia</w:t>
      </w:r>
      <w:proofErr w:type="spellEnd"/>
      <w:r w:rsidRPr="00BC1BDD">
        <w:rPr>
          <w:rFonts w:ascii="Verdana" w:hAnsi="Verdana"/>
          <w:sz w:val="24"/>
          <w:szCs w:val="24"/>
        </w:rPr>
        <w:t xml:space="preserve">, </w:t>
      </w:r>
      <w:r w:rsidR="00154287">
        <w:rPr>
          <w:rFonts w:ascii="Verdana" w:hAnsi="Verdana"/>
          <w:sz w:val="24"/>
          <w:szCs w:val="24"/>
        </w:rPr>
        <w:t xml:space="preserve">lo que </w:t>
      </w:r>
      <w:r w:rsidRPr="00BC1BDD">
        <w:rPr>
          <w:rFonts w:ascii="Verdana" w:hAnsi="Verdana"/>
          <w:sz w:val="24"/>
          <w:szCs w:val="24"/>
        </w:rPr>
        <w:t>mejora</w:t>
      </w:r>
      <w:r w:rsidR="00154287">
        <w:rPr>
          <w:rFonts w:ascii="Verdana" w:hAnsi="Verdana"/>
          <w:sz w:val="24"/>
          <w:szCs w:val="24"/>
        </w:rPr>
        <w:t xml:space="preserve"> </w:t>
      </w:r>
      <w:r w:rsidRPr="00BC1BDD">
        <w:rPr>
          <w:rFonts w:ascii="Verdana" w:hAnsi="Verdana"/>
          <w:sz w:val="24"/>
          <w:szCs w:val="24"/>
        </w:rPr>
        <w:t>la identificación de personas con alto riesgo de diabetes tipo 2. Esta estrategia integrada apoya la intervención oportuna para prevenir la progresión a diabetes y las complicaciones relacionadas.</w:t>
      </w:r>
    </w:p>
    <w:p w14:paraId="6C05EF69" w14:textId="77777777" w:rsidR="00B6222C" w:rsidRDefault="00B6222C" w:rsidP="00025FC1">
      <w:pPr>
        <w:spacing w:line="240" w:lineRule="auto"/>
        <w:jc w:val="both"/>
        <w:rPr>
          <w:rFonts w:ascii="Verdana" w:hAnsi="Verdana"/>
          <w:b/>
          <w:bCs/>
          <w:sz w:val="24"/>
          <w:szCs w:val="24"/>
        </w:rPr>
      </w:pPr>
    </w:p>
    <w:p w14:paraId="4868BA2D" w14:textId="5123F8A0" w:rsidR="00025FC1" w:rsidRPr="00025FC1" w:rsidRDefault="00025FC1" w:rsidP="00025FC1">
      <w:pPr>
        <w:spacing w:line="240" w:lineRule="auto"/>
        <w:jc w:val="both"/>
        <w:rPr>
          <w:rFonts w:ascii="Verdana" w:hAnsi="Verdana"/>
          <w:b/>
          <w:bCs/>
          <w:sz w:val="24"/>
          <w:szCs w:val="24"/>
        </w:rPr>
      </w:pPr>
      <w:r w:rsidRPr="00025FC1">
        <w:rPr>
          <w:rFonts w:ascii="Verdana" w:hAnsi="Verdana"/>
          <w:b/>
          <w:bCs/>
          <w:sz w:val="24"/>
          <w:szCs w:val="24"/>
        </w:rPr>
        <w:t>OBJETIVO</w:t>
      </w:r>
    </w:p>
    <w:p w14:paraId="15CC2F01" w14:textId="68E749AC" w:rsidR="00282186" w:rsidRPr="00F57B9B" w:rsidRDefault="00F57B9B" w:rsidP="00025FC1">
      <w:pPr>
        <w:spacing w:line="240" w:lineRule="auto"/>
        <w:jc w:val="both"/>
        <w:rPr>
          <w:rFonts w:ascii="Verdana" w:hAnsi="Verdana"/>
          <w:bCs/>
          <w:sz w:val="24"/>
          <w:szCs w:val="24"/>
        </w:rPr>
      </w:pPr>
      <w:r w:rsidRPr="00F57B9B">
        <w:rPr>
          <w:rFonts w:ascii="Verdana" w:hAnsi="Verdana"/>
          <w:bCs/>
          <w:sz w:val="24"/>
          <w:szCs w:val="24"/>
        </w:rPr>
        <w:t xml:space="preserve">Determinar la relación de los índices </w:t>
      </w:r>
      <w:proofErr w:type="spellStart"/>
      <w:r w:rsidRPr="00F57B9B">
        <w:rPr>
          <w:rFonts w:ascii="Verdana" w:hAnsi="Verdana"/>
          <w:bCs/>
          <w:sz w:val="24"/>
          <w:szCs w:val="24"/>
        </w:rPr>
        <w:t>TyG</w:t>
      </w:r>
      <w:proofErr w:type="spellEnd"/>
      <w:r w:rsidRPr="00F57B9B">
        <w:rPr>
          <w:rFonts w:ascii="Verdana" w:hAnsi="Verdana"/>
          <w:bCs/>
          <w:sz w:val="24"/>
          <w:szCs w:val="24"/>
        </w:rPr>
        <w:t xml:space="preserve"> y </w:t>
      </w:r>
      <w:proofErr w:type="spellStart"/>
      <w:r w:rsidRPr="00F57B9B">
        <w:rPr>
          <w:rFonts w:ascii="Verdana" w:hAnsi="Verdana"/>
          <w:bCs/>
          <w:sz w:val="24"/>
          <w:szCs w:val="24"/>
        </w:rPr>
        <w:t>TyG</w:t>
      </w:r>
      <w:proofErr w:type="spellEnd"/>
      <w:r w:rsidRPr="00F57B9B">
        <w:rPr>
          <w:rFonts w:ascii="Verdana" w:hAnsi="Verdana"/>
          <w:bCs/>
          <w:sz w:val="24"/>
          <w:szCs w:val="24"/>
        </w:rPr>
        <w:t xml:space="preserve">-IMC con la </w:t>
      </w:r>
      <w:proofErr w:type="spellStart"/>
      <w:r w:rsidRPr="00F57B9B">
        <w:rPr>
          <w:rFonts w:ascii="Verdana" w:hAnsi="Verdana"/>
          <w:bCs/>
          <w:sz w:val="24"/>
          <w:szCs w:val="24"/>
        </w:rPr>
        <w:t>disglucemia</w:t>
      </w:r>
      <w:proofErr w:type="spellEnd"/>
      <w:r w:rsidRPr="00F57B9B">
        <w:rPr>
          <w:rFonts w:ascii="Verdana" w:hAnsi="Verdana"/>
          <w:bCs/>
          <w:sz w:val="24"/>
          <w:szCs w:val="24"/>
        </w:rPr>
        <w:t xml:space="preserve"> detectada mediante pruebas de tolerancia a la glucosa de 1 y 2 horas en </w:t>
      </w:r>
      <w:r>
        <w:rPr>
          <w:rFonts w:ascii="Verdana" w:hAnsi="Verdana"/>
          <w:bCs/>
          <w:sz w:val="24"/>
          <w:szCs w:val="24"/>
        </w:rPr>
        <w:t xml:space="preserve">una serie de </w:t>
      </w:r>
      <w:r w:rsidRPr="00F57B9B">
        <w:rPr>
          <w:rFonts w:ascii="Verdana" w:hAnsi="Verdana"/>
          <w:bCs/>
          <w:sz w:val="24"/>
          <w:szCs w:val="24"/>
        </w:rPr>
        <w:t>trabajadores.</w:t>
      </w:r>
    </w:p>
    <w:p w14:paraId="7BBBB363" w14:textId="77777777" w:rsidR="00F57B9B" w:rsidRDefault="00F57B9B" w:rsidP="00025FC1">
      <w:pPr>
        <w:spacing w:line="240" w:lineRule="auto"/>
        <w:jc w:val="both"/>
        <w:rPr>
          <w:rFonts w:ascii="Verdana" w:hAnsi="Verdana"/>
          <w:b/>
          <w:bCs/>
          <w:sz w:val="24"/>
          <w:szCs w:val="24"/>
        </w:rPr>
      </w:pPr>
    </w:p>
    <w:p w14:paraId="33DE1285" w14:textId="7D5DE2A1" w:rsidR="00947512" w:rsidRDefault="00947512" w:rsidP="00025FC1">
      <w:pPr>
        <w:spacing w:line="240" w:lineRule="auto"/>
        <w:jc w:val="both"/>
        <w:rPr>
          <w:rFonts w:ascii="Verdana" w:hAnsi="Verdana"/>
          <w:b/>
          <w:bCs/>
          <w:sz w:val="24"/>
          <w:szCs w:val="24"/>
        </w:rPr>
      </w:pPr>
      <w:r w:rsidRPr="00947512">
        <w:rPr>
          <w:rFonts w:ascii="Verdana" w:hAnsi="Verdana"/>
          <w:b/>
          <w:bCs/>
          <w:sz w:val="24"/>
          <w:szCs w:val="24"/>
        </w:rPr>
        <w:t>MÉTODOS</w:t>
      </w:r>
    </w:p>
    <w:p w14:paraId="22B1FEBC" w14:textId="2218F1C6" w:rsidR="00582441" w:rsidRDefault="00582441" w:rsidP="00025FC1">
      <w:pPr>
        <w:spacing w:line="240" w:lineRule="auto"/>
        <w:jc w:val="both"/>
        <w:rPr>
          <w:rFonts w:ascii="Verdana" w:hAnsi="Verdana"/>
          <w:sz w:val="24"/>
          <w:szCs w:val="24"/>
        </w:rPr>
      </w:pPr>
      <w:r>
        <w:rPr>
          <w:rFonts w:ascii="Verdana" w:hAnsi="Verdana"/>
          <w:sz w:val="24"/>
          <w:szCs w:val="24"/>
        </w:rPr>
        <w:t xml:space="preserve">Este trabajo constituye un informe parcial del proyecto de investigación: “Validación de la PTG-1h para la detección precoz de alteraciones glucémicas en oficiales y cuadros civiles de las FAR”. </w:t>
      </w:r>
    </w:p>
    <w:p w14:paraId="6A9A2502" w14:textId="2A1FCD9D" w:rsidR="00947512" w:rsidRDefault="00947512" w:rsidP="00025FC1">
      <w:pPr>
        <w:spacing w:line="240" w:lineRule="auto"/>
        <w:jc w:val="both"/>
        <w:rPr>
          <w:rFonts w:ascii="Verdana" w:hAnsi="Verdana"/>
          <w:sz w:val="24"/>
          <w:szCs w:val="24"/>
        </w:rPr>
      </w:pPr>
      <w:r>
        <w:rPr>
          <w:rFonts w:ascii="Verdana" w:hAnsi="Verdana"/>
          <w:sz w:val="24"/>
          <w:szCs w:val="24"/>
        </w:rPr>
        <w:t xml:space="preserve">Se realizó un estudio </w:t>
      </w:r>
      <w:r w:rsidR="00282186">
        <w:rPr>
          <w:rFonts w:ascii="Verdana" w:hAnsi="Verdana"/>
          <w:sz w:val="24"/>
          <w:szCs w:val="24"/>
        </w:rPr>
        <w:t>transversal, analítico, de evaluación tecnológica</w:t>
      </w:r>
      <w:r w:rsidR="005D7D3E">
        <w:rPr>
          <w:rFonts w:ascii="Verdana" w:hAnsi="Verdana"/>
          <w:sz w:val="24"/>
          <w:szCs w:val="24"/>
        </w:rPr>
        <w:t xml:space="preserve">, durante tres meses, desde febrero hasta mayo de 2025. </w:t>
      </w:r>
      <w:r w:rsidR="00582441">
        <w:rPr>
          <w:rFonts w:ascii="Verdana" w:hAnsi="Verdana"/>
          <w:sz w:val="24"/>
          <w:szCs w:val="24"/>
        </w:rPr>
        <w:t>Fueron incluidos</w:t>
      </w:r>
      <w:r w:rsidR="0048757C">
        <w:rPr>
          <w:rFonts w:ascii="Verdana" w:hAnsi="Verdana"/>
          <w:sz w:val="24"/>
          <w:szCs w:val="24"/>
        </w:rPr>
        <w:t xml:space="preserve"> todos lo</w:t>
      </w:r>
      <w:r w:rsidR="00582441">
        <w:rPr>
          <w:rFonts w:ascii="Verdana" w:hAnsi="Verdana"/>
          <w:sz w:val="24"/>
          <w:szCs w:val="24"/>
        </w:rPr>
        <w:t xml:space="preserve">s sujetos que acudieron a la sala de </w:t>
      </w:r>
      <w:r w:rsidR="0048757C">
        <w:rPr>
          <w:rFonts w:ascii="Verdana" w:hAnsi="Verdana"/>
          <w:sz w:val="24"/>
          <w:szCs w:val="24"/>
        </w:rPr>
        <w:t>E</w:t>
      </w:r>
      <w:r w:rsidR="00582441">
        <w:rPr>
          <w:rFonts w:ascii="Verdana" w:hAnsi="Verdana"/>
          <w:sz w:val="24"/>
          <w:szCs w:val="24"/>
        </w:rPr>
        <w:t xml:space="preserve">xamen </w:t>
      </w:r>
      <w:r w:rsidR="0048757C">
        <w:rPr>
          <w:rFonts w:ascii="Verdana" w:hAnsi="Verdana"/>
          <w:sz w:val="24"/>
          <w:szCs w:val="24"/>
        </w:rPr>
        <w:t>M</w:t>
      </w:r>
      <w:r w:rsidR="00582441">
        <w:rPr>
          <w:rFonts w:ascii="Verdana" w:hAnsi="Verdana"/>
          <w:sz w:val="24"/>
          <w:szCs w:val="24"/>
        </w:rPr>
        <w:t xml:space="preserve">édico de </w:t>
      </w:r>
      <w:r w:rsidR="0048757C">
        <w:rPr>
          <w:rFonts w:ascii="Verdana" w:hAnsi="Verdana"/>
          <w:sz w:val="24"/>
          <w:szCs w:val="24"/>
        </w:rPr>
        <w:t>C</w:t>
      </w:r>
      <w:r w:rsidR="00582441">
        <w:rPr>
          <w:rFonts w:ascii="Verdana" w:hAnsi="Verdana"/>
          <w:sz w:val="24"/>
          <w:szCs w:val="24"/>
        </w:rPr>
        <w:t xml:space="preserve">ontrol de </w:t>
      </w:r>
      <w:r w:rsidR="0048757C">
        <w:rPr>
          <w:rFonts w:ascii="Verdana" w:hAnsi="Verdana"/>
          <w:sz w:val="24"/>
          <w:szCs w:val="24"/>
        </w:rPr>
        <w:t>S</w:t>
      </w:r>
      <w:r w:rsidR="00582441">
        <w:rPr>
          <w:rFonts w:ascii="Verdana" w:hAnsi="Verdana"/>
          <w:sz w:val="24"/>
          <w:szCs w:val="24"/>
        </w:rPr>
        <w:t xml:space="preserve">alud </w:t>
      </w:r>
      <w:r w:rsidR="0048757C">
        <w:rPr>
          <w:rFonts w:ascii="Verdana" w:hAnsi="Verdana"/>
          <w:sz w:val="24"/>
          <w:szCs w:val="24"/>
        </w:rPr>
        <w:t xml:space="preserve">(EMCS) </w:t>
      </w:r>
      <w:r w:rsidR="00582441">
        <w:rPr>
          <w:rFonts w:ascii="Verdana" w:hAnsi="Verdana"/>
          <w:sz w:val="24"/>
          <w:szCs w:val="24"/>
        </w:rPr>
        <w:t>del Hospital Militar “Dr. Mario Muñoz Monroy”, de Matanzas.</w:t>
      </w:r>
    </w:p>
    <w:p w14:paraId="025B4D42" w14:textId="64FD99C5" w:rsidR="00582441" w:rsidRDefault="00582441" w:rsidP="00025FC1">
      <w:pPr>
        <w:spacing w:line="240" w:lineRule="auto"/>
        <w:jc w:val="both"/>
        <w:rPr>
          <w:rFonts w:ascii="Verdana" w:hAnsi="Verdana"/>
          <w:sz w:val="24"/>
          <w:szCs w:val="24"/>
        </w:rPr>
      </w:pPr>
      <w:r>
        <w:rPr>
          <w:rFonts w:ascii="Verdana" w:hAnsi="Verdana"/>
          <w:sz w:val="24"/>
          <w:szCs w:val="24"/>
        </w:rPr>
        <w:t>A cada paciente se le realizó entrevista in</w:t>
      </w:r>
      <w:r w:rsidR="0048757C">
        <w:rPr>
          <w:rFonts w:ascii="Verdana" w:hAnsi="Verdana"/>
          <w:sz w:val="24"/>
          <w:szCs w:val="24"/>
        </w:rPr>
        <w:t>dividual dirigida a obtener antecedentes patológicos personales y familiares de interés, variables antropométricas y tensión arterial. Se les realizó extracción de sangre</w:t>
      </w:r>
      <w:r w:rsidR="002513B9">
        <w:rPr>
          <w:rFonts w:ascii="Verdana" w:hAnsi="Verdana"/>
          <w:sz w:val="24"/>
          <w:szCs w:val="24"/>
        </w:rPr>
        <w:t xml:space="preserve"> de tamizaje</w:t>
      </w:r>
      <w:r w:rsidR="0048757C">
        <w:rPr>
          <w:rFonts w:ascii="Verdana" w:hAnsi="Verdana"/>
          <w:sz w:val="24"/>
          <w:szCs w:val="24"/>
        </w:rPr>
        <w:t xml:space="preserve"> para medir glucemia en ayunas, colesterol total y triglicéridos</w:t>
      </w:r>
      <w:r w:rsidR="002513B9">
        <w:rPr>
          <w:rFonts w:ascii="Verdana" w:hAnsi="Verdana"/>
          <w:sz w:val="24"/>
          <w:szCs w:val="24"/>
        </w:rPr>
        <w:t xml:space="preserve"> (también otros analitos en casos seleccionados según enfermedades conocidas de cada sujeto)</w:t>
      </w:r>
      <w:r w:rsidR="0048757C">
        <w:rPr>
          <w:rFonts w:ascii="Verdana" w:hAnsi="Verdana"/>
          <w:sz w:val="24"/>
          <w:szCs w:val="24"/>
        </w:rPr>
        <w:t>.</w:t>
      </w:r>
    </w:p>
    <w:p w14:paraId="66B79356" w14:textId="3873ADA7" w:rsidR="0048757C" w:rsidRDefault="0048757C" w:rsidP="00025FC1">
      <w:pPr>
        <w:spacing w:line="240" w:lineRule="auto"/>
        <w:jc w:val="both"/>
        <w:rPr>
          <w:rFonts w:ascii="Verdana" w:hAnsi="Verdana"/>
          <w:sz w:val="24"/>
          <w:szCs w:val="24"/>
        </w:rPr>
      </w:pPr>
      <w:r>
        <w:rPr>
          <w:rFonts w:ascii="Verdana" w:hAnsi="Verdana"/>
          <w:sz w:val="24"/>
          <w:szCs w:val="24"/>
        </w:rPr>
        <w:lastRenderedPageBreak/>
        <w:t>A los pacientes con glucemia en ayunas igual o superior a 5,6 mmol/L se les propuso realizar una prueba de tolerancia a la glucosa oral</w:t>
      </w:r>
      <w:r w:rsidR="002513B9">
        <w:rPr>
          <w:rFonts w:ascii="Verdana" w:hAnsi="Verdana"/>
          <w:sz w:val="24"/>
          <w:szCs w:val="24"/>
        </w:rPr>
        <w:t xml:space="preserve"> (PTG). En ésta se realizaron </w:t>
      </w:r>
      <w:r>
        <w:rPr>
          <w:rFonts w:ascii="Verdana" w:hAnsi="Verdana"/>
          <w:sz w:val="24"/>
          <w:szCs w:val="24"/>
        </w:rPr>
        <w:t xml:space="preserve">dos mediciones posteriores a la sobrecarga de 75 g de glucosa anhidra: 1 hora y 2 horas. </w:t>
      </w:r>
    </w:p>
    <w:p w14:paraId="56AA8404" w14:textId="2B59354D" w:rsidR="002513B9" w:rsidRDefault="002513B9" w:rsidP="00025FC1">
      <w:pPr>
        <w:spacing w:line="240" w:lineRule="auto"/>
        <w:jc w:val="both"/>
        <w:rPr>
          <w:rFonts w:ascii="Verdana" w:hAnsi="Verdana"/>
          <w:sz w:val="24"/>
          <w:szCs w:val="24"/>
        </w:rPr>
      </w:pPr>
      <w:r>
        <w:rPr>
          <w:rFonts w:ascii="Verdana" w:hAnsi="Verdana"/>
          <w:sz w:val="24"/>
          <w:szCs w:val="24"/>
        </w:rPr>
        <w:t>Se aplicaron los siguientes criterios de exclusión:</w:t>
      </w:r>
    </w:p>
    <w:p w14:paraId="01221A08" w14:textId="7A764C51" w:rsidR="002513B9" w:rsidRDefault="002513B9" w:rsidP="002513B9">
      <w:pPr>
        <w:pStyle w:val="Prrafodelista"/>
        <w:numPr>
          <w:ilvl w:val="0"/>
          <w:numId w:val="1"/>
        </w:numPr>
        <w:spacing w:line="240" w:lineRule="auto"/>
        <w:jc w:val="both"/>
        <w:rPr>
          <w:rFonts w:ascii="Verdana" w:hAnsi="Verdana"/>
          <w:sz w:val="24"/>
          <w:szCs w:val="24"/>
        </w:rPr>
      </w:pPr>
      <w:r>
        <w:rPr>
          <w:rFonts w:ascii="Verdana" w:hAnsi="Verdana"/>
          <w:sz w:val="24"/>
          <w:szCs w:val="24"/>
        </w:rPr>
        <w:t>Pacientes con diagnóstico conocido de diabetes mellitus</w:t>
      </w:r>
    </w:p>
    <w:p w14:paraId="61480048" w14:textId="1531578C" w:rsidR="002513B9" w:rsidRDefault="002513B9" w:rsidP="002513B9">
      <w:pPr>
        <w:pStyle w:val="Prrafodelista"/>
        <w:numPr>
          <w:ilvl w:val="0"/>
          <w:numId w:val="1"/>
        </w:numPr>
        <w:spacing w:line="240" w:lineRule="auto"/>
        <w:jc w:val="both"/>
        <w:rPr>
          <w:rFonts w:ascii="Verdana" w:hAnsi="Verdana"/>
          <w:sz w:val="24"/>
          <w:szCs w:val="24"/>
        </w:rPr>
      </w:pPr>
      <w:r>
        <w:rPr>
          <w:rFonts w:ascii="Verdana" w:hAnsi="Verdana"/>
          <w:sz w:val="24"/>
          <w:szCs w:val="24"/>
        </w:rPr>
        <w:t>Quienes no consintieran por escrito</w:t>
      </w:r>
    </w:p>
    <w:p w14:paraId="6F8CC0A3" w14:textId="5A3C375A" w:rsidR="002513B9" w:rsidRDefault="002513B9" w:rsidP="002513B9">
      <w:pPr>
        <w:pStyle w:val="Prrafodelista"/>
        <w:numPr>
          <w:ilvl w:val="0"/>
          <w:numId w:val="1"/>
        </w:numPr>
        <w:spacing w:line="240" w:lineRule="auto"/>
        <w:jc w:val="both"/>
        <w:rPr>
          <w:rFonts w:ascii="Verdana" w:hAnsi="Verdana"/>
          <w:sz w:val="24"/>
          <w:szCs w:val="24"/>
        </w:rPr>
      </w:pPr>
      <w:r>
        <w:rPr>
          <w:rFonts w:ascii="Verdana" w:hAnsi="Verdana"/>
          <w:sz w:val="24"/>
          <w:szCs w:val="24"/>
        </w:rPr>
        <w:t xml:space="preserve">Sujetos que no hubieran tenido un ayuno de 10 horas antes de la extracción de sangre del tamizaje </w:t>
      </w:r>
    </w:p>
    <w:p w14:paraId="2D4FD84D" w14:textId="26FFFD43" w:rsidR="00990C0B" w:rsidRDefault="00990C0B" w:rsidP="002513B9">
      <w:pPr>
        <w:pStyle w:val="Prrafodelista"/>
        <w:numPr>
          <w:ilvl w:val="0"/>
          <w:numId w:val="1"/>
        </w:numPr>
        <w:spacing w:line="240" w:lineRule="auto"/>
        <w:jc w:val="both"/>
        <w:rPr>
          <w:rFonts w:ascii="Verdana" w:hAnsi="Verdana"/>
          <w:sz w:val="24"/>
          <w:szCs w:val="24"/>
        </w:rPr>
      </w:pPr>
      <w:r>
        <w:rPr>
          <w:rFonts w:ascii="Verdana" w:hAnsi="Verdana"/>
          <w:sz w:val="24"/>
          <w:szCs w:val="24"/>
        </w:rPr>
        <w:t xml:space="preserve">Pacientes con enfermedad aguda o crónica descompensada. </w:t>
      </w:r>
    </w:p>
    <w:p w14:paraId="3400FD8E" w14:textId="4C533255" w:rsidR="00990C0B" w:rsidRDefault="00990C0B" w:rsidP="00990C0B">
      <w:pPr>
        <w:spacing w:line="240" w:lineRule="auto"/>
        <w:jc w:val="both"/>
        <w:rPr>
          <w:rFonts w:ascii="Verdana" w:hAnsi="Verdana"/>
          <w:sz w:val="24"/>
          <w:szCs w:val="24"/>
        </w:rPr>
      </w:pPr>
      <w:r>
        <w:rPr>
          <w:rFonts w:ascii="Verdana" w:hAnsi="Verdana"/>
          <w:sz w:val="24"/>
          <w:szCs w:val="24"/>
        </w:rPr>
        <w:t xml:space="preserve">De cada paciente se obtuvieron las siguientes variables: </w:t>
      </w:r>
    </w:p>
    <w:p w14:paraId="268ECA2D" w14:textId="3F9B936F" w:rsidR="002D53DD" w:rsidRDefault="002D53DD" w:rsidP="00990C0B">
      <w:pPr>
        <w:pStyle w:val="Prrafodelista"/>
        <w:numPr>
          <w:ilvl w:val="0"/>
          <w:numId w:val="2"/>
        </w:numPr>
        <w:spacing w:line="240" w:lineRule="auto"/>
        <w:jc w:val="both"/>
        <w:rPr>
          <w:rFonts w:ascii="Verdana" w:hAnsi="Verdana"/>
          <w:sz w:val="24"/>
          <w:szCs w:val="24"/>
        </w:rPr>
      </w:pPr>
      <w:r>
        <w:rPr>
          <w:rFonts w:ascii="Verdana" w:hAnsi="Verdana"/>
          <w:sz w:val="24"/>
          <w:szCs w:val="24"/>
        </w:rPr>
        <w:t>Sexo; masculino o femenino</w:t>
      </w:r>
    </w:p>
    <w:p w14:paraId="669B0886" w14:textId="7C10AB76" w:rsidR="00990C0B" w:rsidRDefault="00990C0B" w:rsidP="00990C0B">
      <w:pPr>
        <w:pStyle w:val="Prrafodelista"/>
        <w:numPr>
          <w:ilvl w:val="0"/>
          <w:numId w:val="2"/>
        </w:numPr>
        <w:spacing w:line="240" w:lineRule="auto"/>
        <w:jc w:val="both"/>
        <w:rPr>
          <w:rFonts w:ascii="Verdana" w:hAnsi="Verdana"/>
          <w:sz w:val="24"/>
          <w:szCs w:val="24"/>
        </w:rPr>
      </w:pPr>
      <w:r>
        <w:rPr>
          <w:rFonts w:ascii="Verdana" w:hAnsi="Verdana"/>
          <w:sz w:val="24"/>
          <w:szCs w:val="24"/>
        </w:rPr>
        <w:t xml:space="preserve">Edad; en años cumplidos, categorizada en tres grupos: </w:t>
      </w:r>
      <w:r w:rsidR="002D53DD">
        <w:rPr>
          <w:rFonts w:ascii="Verdana" w:hAnsi="Verdana"/>
          <w:sz w:val="24"/>
          <w:szCs w:val="24"/>
        </w:rPr>
        <w:t>hasta 44 años; de 45 a 54 años; 55 años y más</w:t>
      </w:r>
    </w:p>
    <w:p w14:paraId="736B7266" w14:textId="7F247324" w:rsidR="002D53DD" w:rsidRDefault="002D53DD" w:rsidP="00990C0B">
      <w:pPr>
        <w:pStyle w:val="Prrafodelista"/>
        <w:numPr>
          <w:ilvl w:val="0"/>
          <w:numId w:val="2"/>
        </w:numPr>
        <w:spacing w:line="240" w:lineRule="auto"/>
        <w:jc w:val="both"/>
        <w:rPr>
          <w:rFonts w:ascii="Verdana" w:hAnsi="Verdana"/>
          <w:sz w:val="24"/>
          <w:szCs w:val="24"/>
        </w:rPr>
      </w:pPr>
      <w:r>
        <w:rPr>
          <w:rFonts w:ascii="Verdana" w:hAnsi="Verdana"/>
          <w:sz w:val="24"/>
          <w:szCs w:val="24"/>
        </w:rPr>
        <w:t xml:space="preserve">Estado nutricional; categorizado en tres grupos según el índice de masa corporal (IMC): </w:t>
      </w:r>
      <w:proofErr w:type="spellStart"/>
      <w:r>
        <w:rPr>
          <w:rFonts w:ascii="Verdana" w:hAnsi="Verdana"/>
          <w:sz w:val="24"/>
          <w:szCs w:val="24"/>
        </w:rPr>
        <w:t>Normopeso</w:t>
      </w:r>
      <w:proofErr w:type="spellEnd"/>
      <w:r>
        <w:rPr>
          <w:rFonts w:ascii="Verdana" w:hAnsi="Verdana"/>
          <w:sz w:val="24"/>
          <w:szCs w:val="24"/>
        </w:rPr>
        <w:t xml:space="preserve"> (IMC 18,5 – 24,99 Kg/m</w:t>
      </w:r>
      <w:r w:rsidRPr="002D53DD">
        <w:rPr>
          <w:rFonts w:ascii="Verdana" w:hAnsi="Verdana"/>
          <w:sz w:val="24"/>
          <w:szCs w:val="24"/>
          <w:vertAlign w:val="superscript"/>
        </w:rPr>
        <w:t>2</w:t>
      </w:r>
      <w:r>
        <w:rPr>
          <w:rFonts w:ascii="Verdana" w:hAnsi="Verdana"/>
          <w:sz w:val="24"/>
          <w:szCs w:val="24"/>
        </w:rPr>
        <w:t>); Sobrepeso (IMC 25,0 – 29,99 Kg/m</w:t>
      </w:r>
      <w:r w:rsidRPr="002D53DD">
        <w:rPr>
          <w:rFonts w:ascii="Verdana" w:hAnsi="Verdana"/>
          <w:sz w:val="24"/>
          <w:szCs w:val="24"/>
          <w:vertAlign w:val="superscript"/>
        </w:rPr>
        <w:t>2</w:t>
      </w:r>
      <w:r>
        <w:rPr>
          <w:rFonts w:ascii="Verdana" w:hAnsi="Verdana"/>
          <w:sz w:val="24"/>
          <w:szCs w:val="24"/>
        </w:rPr>
        <w:t>); Obeso (IMC ≥30,00 Kg/m</w:t>
      </w:r>
      <w:r w:rsidRPr="002D53DD">
        <w:rPr>
          <w:rFonts w:ascii="Verdana" w:hAnsi="Verdana"/>
          <w:sz w:val="24"/>
          <w:szCs w:val="24"/>
          <w:vertAlign w:val="superscript"/>
        </w:rPr>
        <w:t>2</w:t>
      </w:r>
      <w:r>
        <w:rPr>
          <w:rFonts w:ascii="Verdana" w:hAnsi="Verdana"/>
          <w:sz w:val="24"/>
          <w:szCs w:val="24"/>
        </w:rPr>
        <w:t>)</w:t>
      </w:r>
    </w:p>
    <w:p w14:paraId="34FEDB44" w14:textId="712FF638" w:rsidR="002D53DD" w:rsidRDefault="002D53DD" w:rsidP="00990C0B">
      <w:pPr>
        <w:pStyle w:val="Prrafodelista"/>
        <w:numPr>
          <w:ilvl w:val="0"/>
          <w:numId w:val="2"/>
        </w:numPr>
        <w:spacing w:line="240" w:lineRule="auto"/>
        <w:jc w:val="both"/>
        <w:rPr>
          <w:rFonts w:ascii="Verdana" w:hAnsi="Verdana"/>
          <w:sz w:val="24"/>
          <w:szCs w:val="24"/>
        </w:rPr>
      </w:pPr>
      <w:r>
        <w:rPr>
          <w:rFonts w:ascii="Verdana" w:hAnsi="Verdana"/>
          <w:sz w:val="24"/>
          <w:szCs w:val="24"/>
        </w:rPr>
        <w:t xml:space="preserve">Estado glucémico según PTG-1h: Diabetes (glucemia ≥ 11,6 mmol/L); Prediabetes (glucemia 8,6 - 11,5 mmol/L); </w:t>
      </w:r>
      <w:proofErr w:type="spellStart"/>
      <w:r>
        <w:rPr>
          <w:rFonts w:ascii="Verdana" w:hAnsi="Verdana"/>
          <w:sz w:val="24"/>
          <w:szCs w:val="24"/>
        </w:rPr>
        <w:t>Normoglucemia</w:t>
      </w:r>
      <w:proofErr w:type="spellEnd"/>
      <w:r>
        <w:rPr>
          <w:rFonts w:ascii="Verdana" w:hAnsi="Verdana"/>
          <w:sz w:val="24"/>
          <w:szCs w:val="24"/>
        </w:rPr>
        <w:t xml:space="preserve"> (glucemia &lt; 8,6 mmol/L)</w:t>
      </w:r>
    </w:p>
    <w:p w14:paraId="5441FDBC" w14:textId="3F5FA6A9" w:rsidR="002D53DD" w:rsidRDefault="002D53DD" w:rsidP="002D53DD">
      <w:pPr>
        <w:pStyle w:val="Prrafodelista"/>
        <w:numPr>
          <w:ilvl w:val="0"/>
          <w:numId w:val="2"/>
        </w:numPr>
        <w:spacing w:line="240" w:lineRule="auto"/>
        <w:jc w:val="both"/>
        <w:rPr>
          <w:rFonts w:ascii="Verdana" w:hAnsi="Verdana"/>
          <w:sz w:val="24"/>
          <w:szCs w:val="24"/>
        </w:rPr>
      </w:pPr>
      <w:r>
        <w:rPr>
          <w:rFonts w:ascii="Verdana" w:hAnsi="Verdana"/>
          <w:sz w:val="24"/>
          <w:szCs w:val="24"/>
        </w:rPr>
        <w:t xml:space="preserve">Estado glucémico según PTG-2h: Diabetes (glucemia ≥ 11,1 mmol/L); Prediabetes (glucemia 7,8 - 11,0 mmol/L); </w:t>
      </w:r>
      <w:proofErr w:type="spellStart"/>
      <w:r>
        <w:rPr>
          <w:rFonts w:ascii="Verdana" w:hAnsi="Verdana"/>
          <w:sz w:val="24"/>
          <w:szCs w:val="24"/>
        </w:rPr>
        <w:t>Normoglucemia</w:t>
      </w:r>
      <w:proofErr w:type="spellEnd"/>
      <w:r>
        <w:rPr>
          <w:rFonts w:ascii="Verdana" w:hAnsi="Verdana"/>
          <w:sz w:val="24"/>
          <w:szCs w:val="24"/>
        </w:rPr>
        <w:t xml:space="preserve"> (glucemia &lt; 7,8 mmol/L)</w:t>
      </w:r>
    </w:p>
    <w:p w14:paraId="70114495" w14:textId="03E01732" w:rsidR="00F42E17" w:rsidRDefault="00F42E17" w:rsidP="00EA6AD1">
      <w:pPr>
        <w:pStyle w:val="Prrafodelista"/>
        <w:numPr>
          <w:ilvl w:val="0"/>
          <w:numId w:val="2"/>
        </w:numPr>
        <w:spacing w:line="240" w:lineRule="auto"/>
        <w:jc w:val="both"/>
        <w:rPr>
          <w:rFonts w:ascii="Verdana" w:hAnsi="Verdana"/>
          <w:sz w:val="24"/>
          <w:szCs w:val="24"/>
        </w:rPr>
      </w:pPr>
      <w:r>
        <w:rPr>
          <w:rFonts w:ascii="Verdana" w:hAnsi="Verdana"/>
          <w:sz w:val="24"/>
          <w:szCs w:val="24"/>
        </w:rPr>
        <w:t>Índices subrogados de Resistencia Insulínica</w:t>
      </w:r>
    </w:p>
    <w:p w14:paraId="1A756C8B" w14:textId="78B9196C" w:rsidR="00EA6AD1" w:rsidRDefault="002D53DD" w:rsidP="00F42E17">
      <w:pPr>
        <w:pStyle w:val="Prrafodelista"/>
        <w:numPr>
          <w:ilvl w:val="0"/>
          <w:numId w:val="3"/>
        </w:numPr>
        <w:spacing w:line="240" w:lineRule="auto"/>
        <w:jc w:val="both"/>
        <w:rPr>
          <w:rFonts w:ascii="Verdana" w:hAnsi="Verdana"/>
          <w:sz w:val="24"/>
          <w:szCs w:val="24"/>
        </w:rPr>
      </w:pPr>
      <w:r>
        <w:rPr>
          <w:rFonts w:ascii="Verdana" w:hAnsi="Verdana"/>
          <w:sz w:val="24"/>
          <w:szCs w:val="24"/>
        </w:rPr>
        <w:t xml:space="preserve">Índice </w:t>
      </w:r>
      <w:proofErr w:type="spellStart"/>
      <w:r w:rsidR="00EA6AD1">
        <w:rPr>
          <w:rFonts w:ascii="Verdana" w:hAnsi="Verdana"/>
          <w:sz w:val="24"/>
          <w:szCs w:val="24"/>
        </w:rPr>
        <w:t>TyG</w:t>
      </w:r>
      <w:proofErr w:type="spellEnd"/>
      <w:r w:rsidR="00EA6AD1">
        <w:rPr>
          <w:rFonts w:ascii="Verdana" w:hAnsi="Verdana"/>
          <w:sz w:val="24"/>
          <w:szCs w:val="24"/>
        </w:rPr>
        <w:t xml:space="preserve">, calculado según la ecuación: </w:t>
      </w:r>
    </w:p>
    <w:p w14:paraId="4AEE9C04" w14:textId="46FE73CA" w:rsidR="002D53DD" w:rsidRDefault="00EA6AD1" w:rsidP="00F42E17">
      <w:pPr>
        <w:pStyle w:val="Prrafodelista"/>
        <w:numPr>
          <w:ilvl w:val="2"/>
          <w:numId w:val="3"/>
        </w:numPr>
        <w:spacing w:line="240" w:lineRule="auto"/>
        <w:jc w:val="both"/>
        <w:rPr>
          <w:rFonts w:ascii="Verdana" w:hAnsi="Verdana"/>
          <w:sz w:val="24"/>
          <w:szCs w:val="24"/>
        </w:rPr>
      </w:pPr>
      <m:oMath>
        <m:r>
          <w:rPr>
            <w:rFonts w:ascii="Cambria Math" w:hAnsi="Cambria Math"/>
            <w:sz w:val="24"/>
            <w:szCs w:val="24"/>
          </w:rPr>
          <m:t xml:space="preserve">TyG = Ln[triglicéridos (mg/dL)x glucosa (mg/dL)/2] </m:t>
        </m:r>
      </m:oMath>
    </w:p>
    <w:p w14:paraId="31D8ADBA" w14:textId="6C11B16F" w:rsidR="00EA6AD1" w:rsidRDefault="00EA6AD1" w:rsidP="00F42E17">
      <w:pPr>
        <w:pStyle w:val="Prrafodelista"/>
        <w:numPr>
          <w:ilvl w:val="0"/>
          <w:numId w:val="3"/>
        </w:numPr>
        <w:spacing w:line="240" w:lineRule="auto"/>
        <w:jc w:val="both"/>
        <w:rPr>
          <w:rFonts w:ascii="Verdana" w:hAnsi="Verdana"/>
          <w:sz w:val="24"/>
          <w:szCs w:val="24"/>
        </w:rPr>
      </w:pPr>
      <w:r>
        <w:rPr>
          <w:rFonts w:ascii="Verdana" w:hAnsi="Verdana"/>
          <w:sz w:val="24"/>
          <w:szCs w:val="24"/>
        </w:rPr>
        <w:t xml:space="preserve">Índice </w:t>
      </w:r>
      <w:proofErr w:type="spellStart"/>
      <w:r>
        <w:rPr>
          <w:rFonts w:ascii="Verdana" w:hAnsi="Verdana"/>
          <w:sz w:val="24"/>
          <w:szCs w:val="24"/>
        </w:rPr>
        <w:t>TyG</w:t>
      </w:r>
      <w:proofErr w:type="spellEnd"/>
      <w:r>
        <w:rPr>
          <w:rFonts w:ascii="Verdana" w:hAnsi="Verdana"/>
          <w:sz w:val="24"/>
          <w:szCs w:val="24"/>
        </w:rPr>
        <w:t xml:space="preserve">-IMC, calculado según la ecuación: </w:t>
      </w:r>
    </w:p>
    <w:p w14:paraId="2FC4B313" w14:textId="721C8F90" w:rsidR="00EA6AD1" w:rsidRPr="00F42E17" w:rsidRDefault="00EA6AD1" w:rsidP="00F42E17">
      <w:pPr>
        <w:pStyle w:val="Prrafodelista"/>
        <w:numPr>
          <w:ilvl w:val="2"/>
          <w:numId w:val="3"/>
        </w:numPr>
        <w:spacing w:line="240" w:lineRule="auto"/>
        <w:jc w:val="both"/>
        <w:rPr>
          <w:rFonts w:ascii="Verdana" w:eastAsiaTheme="minorEastAsia" w:hAnsi="Verdana"/>
          <w:sz w:val="24"/>
          <w:szCs w:val="24"/>
        </w:rPr>
      </w:pPr>
      <m:oMath>
        <m:r>
          <w:rPr>
            <w:rFonts w:ascii="Cambria Math" w:hAnsi="Cambria Math"/>
            <w:sz w:val="24"/>
            <w:szCs w:val="24"/>
          </w:rPr>
          <m:t xml:space="preserve">TyG-IMC = Ln[triglicéridos (mg/dL)x glucosa (mg/dL)/2]*IMC </m:t>
        </m:r>
      </m:oMath>
    </w:p>
    <w:p w14:paraId="1D939650" w14:textId="43F3BED2" w:rsidR="00F42E17" w:rsidRPr="00F42E17" w:rsidRDefault="00F42E17" w:rsidP="00F42E17">
      <w:pPr>
        <w:pStyle w:val="Prrafodelista"/>
        <w:numPr>
          <w:ilvl w:val="0"/>
          <w:numId w:val="2"/>
        </w:numPr>
        <w:spacing w:line="240" w:lineRule="auto"/>
        <w:jc w:val="both"/>
        <w:rPr>
          <w:rFonts w:ascii="Verdana" w:eastAsiaTheme="minorEastAsia" w:hAnsi="Verdana"/>
          <w:sz w:val="24"/>
          <w:szCs w:val="24"/>
        </w:rPr>
      </w:pPr>
      <w:proofErr w:type="spellStart"/>
      <w:r>
        <w:rPr>
          <w:rFonts w:ascii="Verdana" w:eastAsiaTheme="minorEastAsia" w:hAnsi="Verdana"/>
          <w:sz w:val="24"/>
          <w:szCs w:val="24"/>
        </w:rPr>
        <w:t>Disglucemia</w:t>
      </w:r>
      <w:proofErr w:type="spellEnd"/>
      <w:r>
        <w:rPr>
          <w:rFonts w:ascii="Verdana" w:eastAsiaTheme="minorEastAsia" w:hAnsi="Verdana"/>
          <w:sz w:val="24"/>
          <w:szCs w:val="24"/>
        </w:rPr>
        <w:t xml:space="preserve">, </w:t>
      </w:r>
      <w:r w:rsidR="00EB0292">
        <w:rPr>
          <w:rFonts w:ascii="Verdana" w:eastAsiaTheme="minorEastAsia" w:hAnsi="Verdana"/>
          <w:sz w:val="24"/>
          <w:szCs w:val="24"/>
        </w:rPr>
        <w:t>presencia</w:t>
      </w:r>
      <w:r>
        <w:rPr>
          <w:rFonts w:ascii="Verdana" w:eastAsiaTheme="minorEastAsia" w:hAnsi="Verdana"/>
          <w:sz w:val="24"/>
          <w:szCs w:val="24"/>
        </w:rPr>
        <w:t xml:space="preserve"> de prediabetes </w:t>
      </w:r>
      <w:r w:rsidR="00EB0292">
        <w:rPr>
          <w:rFonts w:ascii="Verdana" w:eastAsiaTheme="minorEastAsia" w:hAnsi="Verdana"/>
          <w:sz w:val="24"/>
          <w:szCs w:val="24"/>
        </w:rPr>
        <w:t>y/o</w:t>
      </w:r>
      <w:r>
        <w:rPr>
          <w:rFonts w:ascii="Verdana" w:eastAsiaTheme="minorEastAsia" w:hAnsi="Verdana"/>
          <w:sz w:val="24"/>
          <w:szCs w:val="24"/>
        </w:rPr>
        <w:t xml:space="preserve"> diabetes en cada prueba, categorizado en dos grupos dicotómicos: si/no </w:t>
      </w:r>
    </w:p>
    <w:p w14:paraId="522EAF0D" w14:textId="16744C2D" w:rsidR="00EA6AD1" w:rsidRPr="00EA6AD1" w:rsidRDefault="00EA6AD1" w:rsidP="00EA6AD1">
      <w:pPr>
        <w:spacing w:line="240" w:lineRule="auto"/>
        <w:jc w:val="both"/>
        <w:rPr>
          <w:rFonts w:ascii="Verdana" w:hAnsi="Verdana"/>
          <w:sz w:val="24"/>
          <w:szCs w:val="24"/>
        </w:rPr>
      </w:pPr>
      <w:r>
        <w:rPr>
          <w:rFonts w:ascii="Verdana" w:hAnsi="Verdana"/>
          <w:sz w:val="24"/>
          <w:szCs w:val="24"/>
        </w:rPr>
        <w:t xml:space="preserve">La información se almacenó en formato digital y en historias clínicas creadas al efecto de la investigación. Se utilizaron como estadígrafos de resumen de datos frecuencia absoluta, relativa, </w:t>
      </w:r>
      <w:r w:rsidR="00667C46">
        <w:rPr>
          <w:rFonts w:ascii="Verdana" w:hAnsi="Verdana"/>
          <w:sz w:val="24"/>
          <w:szCs w:val="24"/>
        </w:rPr>
        <w:t xml:space="preserve">media aritmética y desviación estándar. Para comparar los valores medios </w:t>
      </w:r>
      <w:r w:rsidR="00F42E17">
        <w:rPr>
          <w:rFonts w:ascii="Verdana" w:hAnsi="Verdana"/>
          <w:sz w:val="24"/>
          <w:szCs w:val="24"/>
        </w:rPr>
        <w:t xml:space="preserve">de los índices subrogados de RI entre los diferentes estados glucémicos se usó ANOVA de un factor. Se calculó la curva operativa del receptor (COR) de cada índice subrogado de RI para el diagnóstico de </w:t>
      </w:r>
      <w:proofErr w:type="spellStart"/>
      <w:r w:rsidR="00F42E17">
        <w:rPr>
          <w:rFonts w:ascii="Verdana" w:hAnsi="Verdana"/>
          <w:sz w:val="24"/>
          <w:szCs w:val="24"/>
        </w:rPr>
        <w:t>disglucemia</w:t>
      </w:r>
      <w:proofErr w:type="spellEnd"/>
      <w:r w:rsidR="00F42E17">
        <w:rPr>
          <w:rFonts w:ascii="Verdana" w:hAnsi="Verdana"/>
          <w:sz w:val="24"/>
          <w:szCs w:val="24"/>
        </w:rPr>
        <w:t>.</w:t>
      </w:r>
      <w:r>
        <w:rPr>
          <w:rFonts w:ascii="Verdana" w:hAnsi="Verdana"/>
          <w:sz w:val="24"/>
          <w:szCs w:val="24"/>
        </w:rPr>
        <w:t xml:space="preserve"> </w:t>
      </w:r>
      <w:r w:rsidR="00D03E45">
        <w:rPr>
          <w:rFonts w:ascii="Verdana" w:hAnsi="Verdana"/>
          <w:sz w:val="24"/>
          <w:szCs w:val="24"/>
        </w:rPr>
        <w:t>Los puntos</w:t>
      </w:r>
      <w:r w:rsidR="00EB0292">
        <w:rPr>
          <w:rFonts w:ascii="Verdana" w:hAnsi="Verdana"/>
          <w:sz w:val="24"/>
          <w:szCs w:val="24"/>
        </w:rPr>
        <w:t xml:space="preserve"> de corte para </w:t>
      </w:r>
      <w:proofErr w:type="spellStart"/>
      <w:r w:rsidR="00EB0292">
        <w:rPr>
          <w:rFonts w:ascii="Verdana" w:hAnsi="Verdana"/>
          <w:sz w:val="24"/>
          <w:szCs w:val="24"/>
        </w:rPr>
        <w:t>TyG</w:t>
      </w:r>
      <w:proofErr w:type="spellEnd"/>
      <w:r w:rsidR="00EB0292">
        <w:rPr>
          <w:rFonts w:ascii="Verdana" w:hAnsi="Verdana"/>
          <w:sz w:val="24"/>
          <w:szCs w:val="24"/>
        </w:rPr>
        <w:t xml:space="preserve"> y para </w:t>
      </w:r>
      <w:proofErr w:type="spellStart"/>
      <w:r w:rsidR="00EB0292">
        <w:rPr>
          <w:rFonts w:ascii="Verdana" w:hAnsi="Verdana"/>
          <w:sz w:val="24"/>
          <w:szCs w:val="24"/>
        </w:rPr>
        <w:t>TyG</w:t>
      </w:r>
      <w:proofErr w:type="spellEnd"/>
      <w:r w:rsidR="00EB0292">
        <w:rPr>
          <w:rFonts w:ascii="Verdana" w:hAnsi="Verdana"/>
          <w:sz w:val="24"/>
          <w:szCs w:val="24"/>
        </w:rPr>
        <w:t xml:space="preserve">-IMC se calcularon en la ROC a través de la </w:t>
      </w:r>
      <w:r w:rsidR="00EB0292">
        <w:rPr>
          <w:rFonts w:ascii="Verdana" w:hAnsi="Verdana"/>
          <w:sz w:val="24"/>
          <w:szCs w:val="24"/>
        </w:rPr>
        <w:lastRenderedPageBreak/>
        <w:t xml:space="preserve">métrica máxima de </w:t>
      </w:r>
      <w:proofErr w:type="spellStart"/>
      <w:r w:rsidR="00EB0292">
        <w:rPr>
          <w:rFonts w:ascii="Verdana" w:hAnsi="Verdana"/>
          <w:sz w:val="24"/>
          <w:szCs w:val="24"/>
        </w:rPr>
        <w:t>Kolmogorov-Smirnov</w:t>
      </w:r>
      <w:proofErr w:type="spellEnd"/>
      <w:r w:rsidR="00EB0292">
        <w:rPr>
          <w:rFonts w:ascii="Verdana" w:hAnsi="Verdana"/>
          <w:sz w:val="24"/>
          <w:szCs w:val="24"/>
        </w:rPr>
        <w:t>. En todos los casos se trabajó con un intervalo de confianza del 95 %, p &lt; 0,05.</w:t>
      </w:r>
    </w:p>
    <w:p w14:paraId="0440A4FD" w14:textId="1F8B65DB" w:rsidR="00025FC1" w:rsidRDefault="00CA273E" w:rsidP="00025FC1">
      <w:pPr>
        <w:spacing w:line="240" w:lineRule="auto"/>
        <w:jc w:val="both"/>
        <w:rPr>
          <w:rFonts w:ascii="Verdana" w:hAnsi="Verdana"/>
          <w:sz w:val="24"/>
          <w:szCs w:val="24"/>
        </w:rPr>
      </w:pPr>
      <w:r w:rsidRPr="00CA273E">
        <w:rPr>
          <w:rFonts w:ascii="Verdana" w:hAnsi="Verdana"/>
          <w:b/>
          <w:bCs/>
          <w:sz w:val="24"/>
          <w:szCs w:val="24"/>
        </w:rPr>
        <w:t>RESULTADOS</w:t>
      </w:r>
    </w:p>
    <w:p w14:paraId="21AA78E8" w14:textId="2BC30875" w:rsidR="00DB47C7" w:rsidRPr="00DB47C7" w:rsidRDefault="00980D21" w:rsidP="00025FC1">
      <w:pPr>
        <w:spacing w:line="240" w:lineRule="auto"/>
        <w:jc w:val="both"/>
        <w:rPr>
          <w:rFonts w:ascii="Verdana" w:hAnsi="Verdana"/>
          <w:sz w:val="24"/>
          <w:szCs w:val="24"/>
        </w:rPr>
      </w:pPr>
      <w:r>
        <w:rPr>
          <w:rFonts w:ascii="Verdana" w:hAnsi="Verdana"/>
          <w:sz w:val="24"/>
          <w:szCs w:val="24"/>
        </w:rPr>
        <w:t>La tabla 1 muestra que l</w:t>
      </w:r>
      <w:r w:rsidR="00EB0292">
        <w:rPr>
          <w:rFonts w:ascii="Verdana" w:hAnsi="Verdana"/>
          <w:sz w:val="24"/>
          <w:szCs w:val="24"/>
        </w:rPr>
        <w:t xml:space="preserve">a serie estuvo conformada por 586 </w:t>
      </w:r>
      <w:r w:rsidR="00600841">
        <w:rPr>
          <w:rFonts w:ascii="Verdana" w:hAnsi="Verdana"/>
          <w:sz w:val="24"/>
          <w:szCs w:val="24"/>
        </w:rPr>
        <w:t>trabajadores</w:t>
      </w:r>
      <w:r w:rsidR="007F26E3">
        <w:rPr>
          <w:rFonts w:ascii="Verdana" w:hAnsi="Verdana"/>
          <w:sz w:val="24"/>
          <w:szCs w:val="24"/>
        </w:rPr>
        <w:t xml:space="preserve">, la mayoría del sexo masculino (59,89 %). </w:t>
      </w:r>
      <w:r w:rsidR="001878B2">
        <w:rPr>
          <w:rFonts w:ascii="Verdana" w:hAnsi="Verdana"/>
          <w:sz w:val="24"/>
          <w:szCs w:val="24"/>
        </w:rPr>
        <w:t>E</w:t>
      </w:r>
      <w:r w:rsidR="007F26E3">
        <w:rPr>
          <w:rFonts w:ascii="Verdana" w:hAnsi="Verdana"/>
          <w:sz w:val="24"/>
          <w:szCs w:val="24"/>
        </w:rPr>
        <w:t xml:space="preserve">l grupo de edad más frecuente fue el de hasta 44 años en ambos sexos (femenino 39,1 % &amp; masculino 40,2 %). Se encontró </w:t>
      </w:r>
      <w:r w:rsidR="00D03E45">
        <w:rPr>
          <w:rFonts w:ascii="Verdana" w:hAnsi="Verdana"/>
          <w:sz w:val="24"/>
          <w:szCs w:val="24"/>
        </w:rPr>
        <w:t>una preponderancia</w:t>
      </w:r>
      <w:r w:rsidR="007F26E3">
        <w:rPr>
          <w:rFonts w:ascii="Verdana" w:hAnsi="Verdana"/>
          <w:sz w:val="24"/>
          <w:szCs w:val="24"/>
        </w:rPr>
        <w:t xml:space="preserve"> de sobrepeso/obesidad, que estuvo presente en casi cuatro de cada cinco sujetos. </w:t>
      </w:r>
    </w:p>
    <w:p w14:paraId="539E99DF" w14:textId="4A0B478B" w:rsidR="00CA273E" w:rsidRPr="008B112F" w:rsidRDefault="00CA273E" w:rsidP="00CA273E">
      <w:pPr>
        <w:pStyle w:val="Epgrafe"/>
        <w:keepNext/>
        <w:rPr>
          <w:rFonts w:ascii="Verdana" w:hAnsi="Verdana"/>
          <w:i w:val="0"/>
          <w:iCs w:val="0"/>
          <w:color w:val="auto"/>
          <w:sz w:val="24"/>
          <w:szCs w:val="24"/>
        </w:rPr>
      </w:pPr>
      <w:r w:rsidRPr="008B112F">
        <w:rPr>
          <w:rFonts w:ascii="Verdana" w:hAnsi="Verdana"/>
          <w:i w:val="0"/>
          <w:iCs w:val="0"/>
          <w:color w:val="auto"/>
          <w:sz w:val="24"/>
          <w:szCs w:val="24"/>
        </w:rPr>
        <w:t xml:space="preserve">Tabla </w:t>
      </w:r>
      <w:r w:rsidRPr="008B112F">
        <w:rPr>
          <w:rFonts w:ascii="Verdana" w:hAnsi="Verdana"/>
          <w:i w:val="0"/>
          <w:iCs w:val="0"/>
          <w:color w:val="auto"/>
          <w:sz w:val="24"/>
          <w:szCs w:val="24"/>
        </w:rPr>
        <w:fldChar w:fldCharType="begin"/>
      </w:r>
      <w:r w:rsidRPr="008B112F">
        <w:rPr>
          <w:rFonts w:ascii="Verdana" w:hAnsi="Verdana"/>
          <w:i w:val="0"/>
          <w:iCs w:val="0"/>
          <w:color w:val="auto"/>
          <w:sz w:val="24"/>
          <w:szCs w:val="24"/>
        </w:rPr>
        <w:instrText xml:space="preserve"> SEQ Tabla \* ARABIC </w:instrText>
      </w:r>
      <w:r w:rsidRPr="008B112F">
        <w:rPr>
          <w:rFonts w:ascii="Verdana" w:hAnsi="Verdana"/>
          <w:i w:val="0"/>
          <w:iCs w:val="0"/>
          <w:color w:val="auto"/>
          <w:sz w:val="24"/>
          <w:szCs w:val="24"/>
        </w:rPr>
        <w:fldChar w:fldCharType="separate"/>
      </w:r>
      <w:r w:rsidR="00D35E10">
        <w:rPr>
          <w:rFonts w:ascii="Verdana" w:hAnsi="Verdana"/>
          <w:i w:val="0"/>
          <w:iCs w:val="0"/>
          <w:noProof/>
          <w:color w:val="auto"/>
          <w:sz w:val="24"/>
          <w:szCs w:val="24"/>
        </w:rPr>
        <w:t>1</w:t>
      </w:r>
      <w:r w:rsidRPr="008B112F">
        <w:rPr>
          <w:rFonts w:ascii="Verdana" w:hAnsi="Verdana"/>
          <w:i w:val="0"/>
          <w:iCs w:val="0"/>
          <w:color w:val="auto"/>
          <w:sz w:val="24"/>
          <w:szCs w:val="24"/>
        </w:rPr>
        <w:fldChar w:fldCharType="end"/>
      </w:r>
      <w:r w:rsidRPr="008B112F">
        <w:rPr>
          <w:rFonts w:ascii="Verdana" w:hAnsi="Verdana"/>
          <w:i w:val="0"/>
          <w:iCs w:val="0"/>
          <w:color w:val="auto"/>
          <w:sz w:val="24"/>
          <w:szCs w:val="24"/>
        </w:rPr>
        <w:t xml:space="preserve">. Características </w:t>
      </w:r>
      <w:r w:rsidR="00B927B5">
        <w:rPr>
          <w:rFonts w:ascii="Verdana" w:hAnsi="Verdana"/>
          <w:i w:val="0"/>
          <w:iCs w:val="0"/>
          <w:color w:val="auto"/>
          <w:sz w:val="24"/>
          <w:szCs w:val="24"/>
        </w:rPr>
        <w:t>clínico-</w:t>
      </w:r>
      <w:r w:rsidRPr="008B112F">
        <w:rPr>
          <w:rFonts w:ascii="Verdana" w:hAnsi="Verdana"/>
          <w:i w:val="0"/>
          <w:iCs w:val="0"/>
          <w:color w:val="auto"/>
          <w:sz w:val="24"/>
          <w:szCs w:val="24"/>
        </w:rPr>
        <w:t>demográficas de la serie</w:t>
      </w:r>
    </w:p>
    <w:tbl>
      <w:tblPr>
        <w:tblStyle w:val="Tablaconcuadrcula"/>
        <w:tblW w:w="5000" w:type="pct"/>
        <w:tblLook w:val="04A0" w:firstRow="1" w:lastRow="0" w:firstColumn="1" w:lastColumn="0" w:noHBand="0" w:noVBand="1"/>
      </w:tblPr>
      <w:tblGrid>
        <w:gridCol w:w="3208"/>
        <w:gridCol w:w="955"/>
        <w:gridCol w:w="1239"/>
        <w:gridCol w:w="964"/>
        <w:gridCol w:w="1248"/>
        <w:gridCol w:w="674"/>
        <w:gridCol w:w="766"/>
      </w:tblGrid>
      <w:tr w:rsidR="00CA273E" w14:paraId="288C6234" w14:textId="77777777" w:rsidTr="00980D21">
        <w:tc>
          <w:tcPr>
            <w:tcW w:w="1780" w:type="pct"/>
            <w:vMerge w:val="restart"/>
            <w:vAlign w:val="center"/>
          </w:tcPr>
          <w:p w14:paraId="76FD07A3" w14:textId="7EFF9405" w:rsidR="00CA273E" w:rsidRDefault="00B927B5" w:rsidP="00980D21">
            <w:pPr>
              <w:jc w:val="center"/>
              <w:rPr>
                <w:rFonts w:ascii="Verdana" w:hAnsi="Verdana"/>
                <w:sz w:val="24"/>
                <w:szCs w:val="24"/>
              </w:rPr>
            </w:pPr>
            <w:bookmarkStart w:id="1" w:name="_Hlk200892739"/>
            <w:r>
              <w:rPr>
                <w:rFonts w:ascii="Verdana" w:hAnsi="Verdana"/>
                <w:sz w:val="24"/>
                <w:szCs w:val="24"/>
              </w:rPr>
              <w:t>Característica</w:t>
            </w:r>
          </w:p>
        </w:tc>
        <w:tc>
          <w:tcPr>
            <w:tcW w:w="2464" w:type="pct"/>
            <w:gridSpan w:val="4"/>
            <w:vAlign w:val="center"/>
          </w:tcPr>
          <w:p w14:paraId="76C214C2" w14:textId="4573A62F" w:rsidR="00CA273E" w:rsidRDefault="00CA273E" w:rsidP="00980D21">
            <w:pPr>
              <w:jc w:val="center"/>
              <w:rPr>
                <w:rFonts w:ascii="Verdana" w:hAnsi="Verdana"/>
                <w:sz w:val="24"/>
                <w:szCs w:val="24"/>
              </w:rPr>
            </w:pPr>
            <w:r>
              <w:rPr>
                <w:rFonts w:ascii="Verdana" w:hAnsi="Verdana"/>
                <w:sz w:val="24"/>
                <w:szCs w:val="24"/>
              </w:rPr>
              <w:t>Sexo</w:t>
            </w:r>
          </w:p>
        </w:tc>
        <w:tc>
          <w:tcPr>
            <w:tcW w:w="757" w:type="pct"/>
            <w:gridSpan w:val="2"/>
            <w:vMerge w:val="restart"/>
            <w:vAlign w:val="center"/>
          </w:tcPr>
          <w:p w14:paraId="0EA344A0" w14:textId="63D624F9" w:rsidR="00CA273E" w:rsidRDefault="00CA273E" w:rsidP="00980D21">
            <w:pPr>
              <w:jc w:val="center"/>
              <w:rPr>
                <w:rFonts w:ascii="Verdana" w:hAnsi="Verdana"/>
                <w:sz w:val="24"/>
                <w:szCs w:val="24"/>
              </w:rPr>
            </w:pPr>
            <w:r>
              <w:rPr>
                <w:rFonts w:ascii="Verdana" w:hAnsi="Verdana"/>
                <w:sz w:val="24"/>
                <w:szCs w:val="24"/>
              </w:rPr>
              <w:t>Total</w:t>
            </w:r>
          </w:p>
        </w:tc>
      </w:tr>
      <w:tr w:rsidR="00CA273E" w14:paraId="7D6DC166" w14:textId="77777777" w:rsidTr="00980D21">
        <w:tc>
          <w:tcPr>
            <w:tcW w:w="1780" w:type="pct"/>
            <w:vMerge/>
            <w:vAlign w:val="center"/>
          </w:tcPr>
          <w:p w14:paraId="051A5DD3" w14:textId="4F101C6C" w:rsidR="00CA273E" w:rsidRDefault="00CA273E" w:rsidP="00980D21">
            <w:pPr>
              <w:jc w:val="center"/>
              <w:rPr>
                <w:rFonts w:ascii="Verdana" w:hAnsi="Verdana"/>
                <w:sz w:val="24"/>
                <w:szCs w:val="24"/>
              </w:rPr>
            </w:pPr>
          </w:p>
        </w:tc>
        <w:tc>
          <w:tcPr>
            <w:tcW w:w="1227" w:type="pct"/>
            <w:gridSpan w:val="2"/>
            <w:vAlign w:val="center"/>
          </w:tcPr>
          <w:p w14:paraId="69EA3033" w14:textId="1E0D8B30" w:rsidR="00CA273E" w:rsidRDefault="00CA273E" w:rsidP="00980D21">
            <w:pPr>
              <w:jc w:val="center"/>
              <w:rPr>
                <w:rFonts w:ascii="Verdana" w:hAnsi="Verdana"/>
                <w:sz w:val="24"/>
                <w:szCs w:val="24"/>
              </w:rPr>
            </w:pPr>
            <w:r>
              <w:rPr>
                <w:rFonts w:ascii="Verdana" w:hAnsi="Verdana"/>
                <w:sz w:val="24"/>
                <w:szCs w:val="24"/>
              </w:rPr>
              <w:t>Femenino</w:t>
            </w:r>
          </w:p>
        </w:tc>
        <w:tc>
          <w:tcPr>
            <w:tcW w:w="1237" w:type="pct"/>
            <w:gridSpan w:val="2"/>
            <w:vAlign w:val="center"/>
          </w:tcPr>
          <w:p w14:paraId="60027F18" w14:textId="2893EEEC" w:rsidR="00CA273E" w:rsidRDefault="00CA273E" w:rsidP="00980D21">
            <w:pPr>
              <w:jc w:val="center"/>
              <w:rPr>
                <w:rFonts w:ascii="Verdana" w:hAnsi="Verdana"/>
                <w:sz w:val="24"/>
                <w:szCs w:val="24"/>
              </w:rPr>
            </w:pPr>
            <w:r>
              <w:rPr>
                <w:rFonts w:ascii="Verdana" w:hAnsi="Verdana"/>
                <w:sz w:val="24"/>
                <w:szCs w:val="24"/>
              </w:rPr>
              <w:t>Masculino</w:t>
            </w:r>
          </w:p>
        </w:tc>
        <w:tc>
          <w:tcPr>
            <w:tcW w:w="757" w:type="pct"/>
            <w:gridSpan w:val="2"/>
            <w:vMerge/>
            <w:vAlign w:val="center"/>
          </w:tcPr>
          <w:p w14:paraId="60DC45C7" w14:textId="4C6F45D0" w:rsidR="00CA273E" w:rsidRDefault="00CA273E" w:rsidP="00980D21">
            <w:pPr>
              <w:jc w:val="center"/>
              <w:rPr>
                <w:rFonts w:ascii="Verdana" w:hAnsi="Verdana"/>
                <w:sz w:val="24"/>
                <w:szCs w:val="24"/>
              </w:rPr>
            </w:pPr>
          </w:p>
        </w:tc>
      </w:tr>
      <w:tr w:rsidR="00CA273E" w14:paraId="64E5FE3C" w14:textId="77777777" w:rsidTr="00980D21">
        <w:tc>
          <w:tcPr>
            <w:tcW w:w="1780" w:type="pct"/>
            <w:vMerge/>
            <w:vAlign w:val="center"/>
          </w:tcPr>
          <w:p w14:paraId="76A16BA6" w14:textId="77777777" w:rsidR="00CA273E" w:rsidRDefault="00CA273E" w:rsidP="00980D21">
            <w:pPr>
              <w:jc w:val="center"/>
              <w:rPr>
                <w:rFonts w:ascii="Verdana" w:hAnsi="Verdana"/>
                <w:sz w:val="24"/>
                <w:szCs w:val="24"/>
              </w:rPr>
            </w:pPr>
          </w:p>
        </w:tc>
        <w:tc>
          <w:tcPr>
            <w:tcW w:w="535" w:type="pct"/>
            <w:vAlign w:val="center"/>
          </w:tcPr>
          <w:p w14:paraId="29ABBA6A" w14:textId="1CE76325" w:rsidR="00CA273E" w:rsidRPr="00CA273E" w:rsidRDefault="00CA273E" w:rsidP="00980D21">
            <w:pPr>
              <w:jc w:val="center"/>
              <w:rPr>
                <w:rFonts w:ascii="Verdana" w:hAnsi="Verdana"/>
                <w:b/>
                <w:bCs/>
                <w:sz w:val="24"/>
                <w:szCs w:val="24"/>
              </w:rPr>
            </w:pPr>
            <w:r>
              <w:rPr>
                <w:rFonts w:ascii="Verdana" w:hAnsi="Verdana"/>
                <w:sz w:val="24"/>
                <w:szCs w:val="24"/>
              </w:rPr>
              <w:t>n</w:t>
            </w:r>
          </w:p>
        </w:tc>
        <w:tc>
          <w:tcPr>
            <w:tcW w:w="692" w:type="pct"/>
            <w:vAlign w:val="center"/>
          </w:tcPr>
          <w:p w14:paraId="3C1B38C5" w14:textId="73D33E15" w:rsidR="00CA273E" w:rsidRPr="00CA273E" w:rsidRDefault="00CA273E" w:rsidP="00980D21">
            <w:pPr>
              <w:jc w:val="center"/>
              <w:rPr>
                <w:rFonts w:ascii="Verdana" w:hAnsi="Verdana"/>
                <w:b/>
                <w:bCs/>
                <w:sz w:val="24"/>
                <w:szCs w:val="24"/>
              </w:rPr>
            </w:pPr>
            <w:r>
              <w:rPr>
                <w:rFonts w:ascii="Verdana" w:hAnsi="Verdana"/>
                <w:sz w:val="24"/>
                <w:szCs w:val="24"/>
              </w:rPr>
              <w:t>%</w:t>
            </w:r>
          </w:p>
        </w:tc>
        <w:tc>
          <w:tcPr>
            <w:tcW w:w="540" w:type="pct"/>
            <w:vAlign w:val="center"/>
          </w:tcPr>
          <w:p w14:paraId="7B5DA33F" w14:textId="6A0975B9" w:rsidR="00CA273E" w:rsidRDefault="00CA273E" w:rsidP="00980D21">
            <w:pPr>
              <w:jc w:val="center"/>
              <w:rPr>
                <w:rFonts w:ascii="Verdana" w:hAnsi="Verdana"/>
                <w:sz w:val="24"/>
                <w:szCs w:val="24"/>
              </w:rPr>
            </w:pPr>
            <w:r>
              <w:rPr>
                <w:rFonts w:ascii="Verdana" w:hAnsi="Verdana"/>
                <w:sz w:val="24"/>
                <w:szCs w:val="24"/>
              </w:rPr>
              <w:t>n</w:t>
            </w:r>
          </w:p>
        </w:tc>
        <w:tc>
          <w:tcPr>
            <w:tcW w:w="697" w:type="pct"/>
            <w:vAlign w:val="center"/>
          </w:tcPr>
          <w:p w14:paraId="524CA53E" w14:textId="07F61E3D" w:rsidR="00CA273E" w:rsidRDefault="00CA273E" w:rsidP="00980D21">
            <w:pPr>
              <w:jc w:val="center"/>
              <w:rPr>
                <w:rFonts w:ascii="Verdana" w:hAnsi="Verdana"/>
                <w:sz w:val="24"/>
                <w:szCs w:val="24"/>
              </w:rPr>
            </w:pPr>
            <w:r>
              <w:rPr>
                <w:rFonts w:ascii="Verdana" w:hAnsi="Verdana"/>
                <w:sz w:val="24"/>
                <w:szCs w:val="24"/>
              </w:rPr>
              <w:t>%</w:t>
            </w:r>
          </w:p>
        </w:tc>
        <w:tc>
          <w:tcPr>
            <w:tcW w:w="325" w:type="pct"/>
            <w:vAlign w:val="center"/>
          </w:tcPr>
          <w:p w14:paraId="616C1104" w14:textId="5389A357" w:rsidR="00CA273E" w:rsidRDefault="00CA273E" w:rsidP="00980D21">
            <w:pPr>
              <w:jc w:val="center"/>
              <w:rPr>
                <w:rFonts w:ascii="Verdana" w:hAnsi="Verdana"/>
                <w:sz w:val="24"/>
                <w:szCs w:val="24"/>
              </w:rPr>
            </w:pPr>
            <w:r>
              <w:rPr>
                <w:rFonts w:ascii="Verdana" w:hAnsi="Verdana"/>
                <w:sz w:val="24"/>
                <w:szCs w:val="24"/>
              </w:rPr>
              <w:t>n</w:t>
            </w:r>
          </w:p>
        </w:tc>
        <w:tc>
          <w:tcPr>
            <w:tcW w:w="432" w:type="pct"/>
            <w:vAlign w:val="center"/>
          </w:tcPr>
          <w:p w14:paraId="09D5A9F6" w14:textId="624C3498" w:rsidR="00CA273E" w:rsidRDefault="00CA273E" w:rsidP="00980D21">
            <w:pPr>
              <w:jc w:val="center"/>
              <w:rPr>
                <w:rFonts w:ascii="Verdana" w:hAnsi="Verdana"/>
                <w:sz w:val="24"/>
                <w:szCs w:val="24"/>
              </w:rPr>
            </w:pPr>
            <w:r>
              <w:rPr>
                <w:rFonts w:ascii="Verdana" w:hAnsi="Verdana"/>
                <w:sz w:val="24"/>
                <w:szCs w:val="24"/>
              </w:rPr>
              <w:t>%</w:t>
            </w:r>
          </w:p>
        </w:tc>
      </w:tr>
      <w:tr w:rsidR="00366E63" w14:paraId="32D52AA0" w14:textId="77777777" w:rsidTr="00980D21">
        <w:tc>
          <w:tcPr>
            <w:tcW w:w="1780" w:type="pct"/>
            <w:vAlign w:val="center"/>
          </w:tcPr>
          <w:p w14:paraId="665722A7" w14:textId="68836300" w:rsidR="00CA273E" w:rsidRDefault="0098094C" w:rsidP="00980D21">
            <w:pPr>
              <w:jc w:val="center"/>
              <w:rPr>
                <w:rFonts w:ascii="Verdana" w:hAnsi="Verdana"/>
                <w:sz w:val="24"/>
                <w:szCs w:val="24"/>
              </w:rPr>
            </w:pPr>
            <w:r>
              <w:rPr>
                <w:rFonts w:ascii="Verdana" w:hAnsi="Verdana"/>
                <w:sz w:val="24"/>
                <w:szCs w:val="24"/>
              </w:rPr>
              <w:t>55 años y más</w:t>
            </w:r>
          </w:p>
        </w:tc>
        <w:tc>
          <w:tcPr>
            <w:tcW w:w="535" w:type="pct"/>
            <w:vAlign w:val="center"/>
          </w:tcPr>
          <w:p w14:paraId="37D95F39" w14:textId="46EE9224" w:rsidR="00CA273E" w:rsidRDefault="00C86213" w:rsidP="00980D21">
            <w:pPr>
              <w:jc w:val="center"/>
              <w:rPr>
                <w:rFonts w:ascii="Verdana" w:hAnsi="Verdana"/>
                <w:sz w:val="24"/>
                <w:szCs w:val="24"/>
              </w:rPr>
            </w:pPr>
            <w:r>
              <w:rPr>
                <w:rFonts w:ascii="Verdana" w:hAnsi="Verdana"/>
                <w:sz w:val="24"/>
                <w:szCs w:val="24"/>
              </w:rPr>
              <w:t>59</w:t>
            </w:r>
          </w:p>
        </w:tc>
        <w:tc>
          <w:tcPr>
            <w:tcW w:w="692" w:type="pct"/>
            <w:vAlign w:val="center"/>
          </w:tcPr>
          <w:p w14:paraId="2926DF88" w14:textId="4ED29942" w:rsidR="00CA273E" w:rsidRDefault="00C86213" w:rsidP="00980D21">
            <w:pPr>
              <w:jc w:val="center"/>
              <w:rPr>
                <w:rFonts w:ascii="Verdana" w:hAnsi="Verdana"/>
                <w:sz w:val="24"/>
                <w:szCs w:val="24"/>
              </w:rPr>
            </w:pPr>
            <w:r>
              <w:rPr>
                <w:rFonts w:ascii="Verdana" w:hAnsi="Verdana"/>
                <w:sz w:val="24"/>
                <w:szCs w:val="24"/>
              </w:rPr>
              <w:t>25,1</w:t>
            </w:r>
          </w:p>
        </w:tc>
        <w:tc>
          <w:tcPr>
            <w:tcW w:w="540" w:type="pct"/>
            <w:vAlign w:val="center"/>
          </w:tcPr>
          <w:p w14:paraId="535A255E" w14:textId="3EE91C3A" w:rsidR="00CA273E" w:rsidRDefault="00C86213" w:rsidP="00980D21">
            <w:pPr>
              <w:jc w:val="center"/>
              <w:rPr>
                <w:rFonts w:ascii="Verdana" w:hAnsi="Verdana"/>
                <w:sz w:val="24"/>
                <w:szCs w:val="24"/>
              </w:rPr>
            </w:pPr>
            <w:r>
              <w:rPr>
                <w:rFonts w:ascii="Verdana" w:hAnsi="Verdana"/>
                <w:sz w:val="24"/>
                <w:szCs w:val="24"/>
              </w:rPr>
              <w:t>118</w:t>
            </w:r>
          </w:p>
        </w:tc>
        <w:tc>
          <w:tcPr>
            <w:tcW w:w="697" w:type="pct"/>
            <w:vAlign w:val="center"/>
          </w:tcPr>
          <w:p w14:paraId="4458737F" w14:textId="40F211CC" w:rsidR="00CA273E" w:rsidRDefault="00C86213" w:rsidP="00980D21">
            <w:pPr>
              <w:jc w:val="center"/>
              <w:rPr>
                <w:rFonts w:ascii="Verdana" w:hAnsi="Verdana"/>
                <w:sz w:val="24"/>
                <w:szCs w:val="24"/>
              </w:rPr>
            </w:pPr>
            <w:r>
              <w:rPr>
                <w:rFonts w:ascii="Verdana" w:hAnsi="Verdana"/>
                <w:sz w:val="24"/>
                <w:szCs w:val="24"/>
              </w:rPr>
              <w:t>33,6</w:t>
            </w:r>
          </w:p>
        </w:tc>
        <w:tc>
          <w:tcPr>
            <w:tcW w:w="325" w:type="pct"/>
            <w:vAlign w:val="center"/>
          </w:tcPr>
          <w:p w14:paraId="10539BA4" w14:textId="22CB4E39" w:rsidR="00CA273E" w:rsidRDefault="00C86213" w:rsidP="00980D21">
            <w:pPr>
              <w:jc w:val="center"/>
              <w:rPr>
                <w:rFonts w:ascii="Verdana" w:hAnsi="Verdana"/>
                <w:sz w:val="24"/>
                <w:szCs w:val="24"/>
              </w:rPr>
            </w:pPr>
            <w:r>
              <w:rPr>
                <w:rFonts w:ascii="Verdana" w:hAnsi="Verdana"/>
                <w:sz w:val="24"/>
                <w:szCs w:val="24"/>
              </w:rPr>
              <w:t>177</w:t>
            </w:r>
          </w:p>
        </w:tc>
        <w:tc>
          <w:tcPr>
            <w:tcW w:w="432" w:type="pct"/>
            <w:vAlign w:val="center"/>
          </w:tcPr>
          <w:p w14:paraId="7286A782" w14:textId="1AEAC99E" w:rsidR="00CA273E" w:rsidRDefault="00C86213" w:rsidP="00980D21">
            <w:pPr>
              <w:jc w:val="center"/>
              <w:rPr>
                <w:rFonts w:ascii="Verdana" w:hAnsi="Verdana"/>
                <w:sz w:val="24"/>
                <w:szCs w:val="24"/>
              </w:rPr>
            </w:pPr>
            <w:r>
              <w:rPr>
                <w:rFonts w:ascii="Verdana" w:hAnsi="Verdana"/>
                <w:sz w:val="24"/>
                <w:szCs w:val="24"/>
              </w:rPr>
              <w:t>30,2</w:t>
            </w:r>
          </w:p>
        </w:tc>
      </w:tr>
      <w:tr w:rsidR="00366E63" w14:paraId="0C24B135" w14:textId="77777777" w:rsidTr="00980D21">
        <w:tc>
          <w:tcPr>
            <w:tcW w:w="1780" w:type="pct"/>
            <w:vAlign w:val="center"/>
          </w:tcPr>
          <w:p w14:paraId="36D11477" w14:textId="615D4514" w:rsidR="00CA273E" w:rsidRDefault="0098094C" w:rsidP="00980D21">
            <w:pPr>
              <w:jc w:val="center"/>
              <w:rPr>
                <w:rFonts w:ascii="Verdana" w:hAnsi="Verdana"/>
                <w:sz w:val="24"/>
                <w:szCs w:val="24"/>
              </w:rPr>
            </w:pPr>
            <w:r>
              <w:rPr>
                <w:rFonts w:ascii="Verdana" w:hAnsi="Verdana"/>
                <w:sz w:val="24"/>
                <w:szCs w:val="24"/>
              </w:rPr>
              <w:t>De 45 a 54 años</w:t>
            </w:r>
          </w:p>
        </w:tc>
        <w:tc>
          <w:tcPr>
            <w:tcW w:w="535" w:type="pct"/>
            <w:vAlign w:val="center"/>
          </w:tcPr>
          <w:p w14:paraId="0E0AF8FE" w14:textId="6A0A8F6A" w:rsidR="00CA273E" w:rsidRDefault="00C86213" w:rsidP="00980D21">
            <w:pPr>
              <w:jc w:val="center"/>
              <w:rPr>
                <w:rFonts w:ascii="Verdana" w:hAnsi="Verdana"/>
                <w:sz w:val="24"/>
                <w:szCs w:val="24"/>
              </w:rPr>
            </w:pPr>
            <w:r>
              <w:rPr>
                <w:rFonts w:ascii="Verdana" w:hAnsi="Verdana"/>
                <w:sz w:val="24"/>
                <w:szCs w:val="24"/>
              </w:rPr>
              <w:t>84</w:t>
            </w:r>
          </w:p>
        </w:tc>
        <w:tc>
          <w:tcPr>
            <w:tcW w:w="692" w:type="pct"/>
            <w:vAlign w:val="center"/>
          </w:tcPr>
          <w:p w14:paraId="55FEE0FE" w14:textId="53D67F30" w:rsidR="00CA273E" w:rsidRDefault="00C86213" w:rsidP="00980D21">
            <w:pPr>
              <w:jc w:val="center"/>
              <w:rPr>
                <w:rFonts w:ascii="Verdana" w:hAnsi="Verdana"/>
                <w:sz w:val="24"/>
                <w:szCs w:val="24"/>
              </w:rPr>
            </w:pPr>
            <w:r>
              <w:rPr>
                <w:rFonts w:ascii="Verdana" w:hAnsi="Verdana"/>
                <w:sz w:val="24"/>
                <w:szCs w:val="24"/>
              </w:rPr>
              <w:t>35,7</w:t>
            </w:r>
          </w:p>
        </w:tc>
        <w:tc>
          <w:tcPr>
            <w:tcW w:w="540" w:type="pct"/>
            <w:vAlign w:val="center"/>
          </w:tcPr>
          <w:p w14:paraId="2E0A5D5F" w14:textId="04ED3472" w:rsidR="00CA273E" w:rsidRDefault="00C86213" w:rsidP="00980D21">
            <w:pPr>
              <w:jc w:val="center"/>
              <w:rPr>
                <w:rFonts w:ascii="Verdana" w:hAnsi="Verdana"/>
                <w:sz w:val="24"/>
                <w:szCs w:val="24"/>
              </w:rPr>
            </w:pPr>
            <w:r>
              <w:rPr>
                <w:rFonts w:ascii="Verdana" w:hAnsi="Verdana"/>
                <w:sz w:val="24"/>
                <w:szCs w:val="24"/>
              </w:rPr>
              <w:t>91</w:t>
            </w:r>
          </w:p>
        </w:tc>
        <w:tc>
          <w:tcPr>
            <w:tcW w:w="697" w:type="pct"/>
            <w:vAlign w:val="center"/>
          </w:tcPr>
          <w:p w14:paraId="5EACCAF8" w14:textId="2AB7FF5F" w:rsidR="00CA273E" w:rsidRDefault="00C86213" w:rsidP="00980D21">
            <w:pPr>
              <w:jc w:val="center"/>
              <w:rPr>
                <w:rFonts w:ascii="Verdana" w:hAnsi="Verdana"/>
                <w:sz w:val="24"/>
                <w:szCs w:val="24"/>
              </w:rPr>
            </w:pPr>
            <w:r>
              <w:rPr>
                <w:rFonts w:ascii="Verdana" w:hAnsi="Verdana"/>
                <w:sz w:val="24"/>
                <w:szCs w:val="24"/>
              </w:rPr>
              <w:t>25,9</w:t>
            </w:r>
          </w:p>
        </w:tc>
        <w:tc>
          <w:tcPr>
            <w:tcW w:w="325" w:type="pct"/>
            <w:vAlign w:val="center"/>
          </w:tcPr>
          <w:p w14:paraId="25F3748C" w14:textId="182E02B1" w:rsidR="00CA273E" w:rsidRDefault="00C86213" w:rsidP="00980D21">
            <w:pPr>
              <w:jc w:val="center"/>
              <w:rPr>
                <w:rFonts w:ascii="Verdana" w:hAnsi="Verdana"/>
                <w:sz w:val="24"/>
                <w:szCs w:val="24"/>
              </w:rPr>
            </w:pPr>
            <w:r>
              <w:rPr>
                <w:rFonts w:ascii="Verdana" w:hAnsi="Verdana"/>
                <w:sz w:val="24"/>
                <w:szCs w:val="24"/>
              </w:rPr>
              <w:t>175</w:t>
            </w:r>
          </w:p>
        </w:tc>
        <w:tc>
          <w:tcPr>
            <w:tcW w:w="432" w:type="pct"/>
            <w:vAlign w:val="center"/>
          </w:tcPr>
          <w:p w14:paraId="07CADA48" w14:textId="2035C794" w:rsidR="00CA273E" w:rsidRDefault="00C86213" w:rsidP="00980D21">
            <w:pPr>
              <w:jc w:val="center"/>
              <w:rPr>
                <w:rFonts w:ascii="Verdana" w:hAnsi="Verdana"/>
                <w:sz w:val="24"/>
                <w:szCs w:val="24"/>
              </w:rPr>
            </w:pPr>
            <w:r>
              <w:rPr>
                <w:rFonts w:ascii="Verdana" w:hAnsi="Verdana"/>
                <w:sz w:val="24"/>
                <w:szCs w:val="24"/>
              </w:rPr>
              <w:t>29,9</w:t>
            </w:r>
          </w:p>
        </w:tc>
      </w:tr>
      <w:tr w:rsidR="00CA273E" w14:paraId="742554EA" w14:textId="77777777" w:rsidTr="00980D21">
        <w:tc>
          <w:tcPr>
            <w:tcW w:w="1780" w:type="pct"/>
            <w:vAlign w:val="center"/>
          </w:tcPr>
          <w:p w14:paraId="6DDD1310" w14:textId="44392038" w:rsidR="00CA273E" w:rsidRDefault="0098094C" w:rsidP="00980D21">
            <w:pPr>
              <w:jc w:val="center"/>
              <w:rPr>
                <w:rFonts w:ascii="Verdana" w:hAnsi="Verdana"/>
                <w:sz w:val="24"/>
                <w:szCs w:val="24"/>
              </w:rPr>
            </w:pPr>
            <w:r>
              <w:rPr>
                <w:rFonts w:ascii="Verdana" w:hAnsi="Verdana"/>
                <w:sz w:val="24"/>
                <w:szCs w:val="24"/>
              </w:rPr>
              <w:t>Hasta 44 años</w:t>
            </w:r>
          </w:p>
        </w:tc>
        <w:tc>
          <w:tcPr>
            <w:tcW w:w="535" w:type="pct"/>
            <w:vAlign w:val="center"/>
          </w:tcPr>
          <w:p w14:paraId="55314F43" w14:textId="7D65B4E8" w:rsidR="00CA273E" w:rsidRDefault="00C86213" w:rsidP="00980D21">
            <w:pPr>
              <w:jc w:val="center"/>
              <w:rPr>
                <w:rFonts w:ascii="Verdana" w:hAnsi="Verdana"/>
                <w:sz w:val="24"/>
                <w:szCs w:val="24"/>
              </w:rPr>
            </w:pPr>
            <w:r>
              <w:rPr>
                <w:rFonts w:ascii="Verdana" w:hAnsi="Verdana"/>
                <w:sz w:val="24"/>
                <w:szCs w:val="24"/>
              </w:rPr>
              <w:t>92</w:t>
            </w:r>
          </w:p>
        </w:tc>
        <w:tc>
          <w:tcPr>
            <w:tcW w:w="692" w:type="pct"/>
            <w:vAlign w:val="center"/>
          </w:tcPr>
          <w:p w14:paraId="5FBAA052" w14:textId="5C0793BE" w:rsidR="00CA273E" w:rsidRDefault="00C86213" w:rsidP="00980D21">
            <w:pPr>
              <w:jc w:val="center"/>
              <w:rPr>
                <w:rFonts w:ascii="Verdana" w:hAnsi="Verdana"/>
                <w:sz w:val="24"/>
                <w:szCs w:val="24"/>
              </w:rPr>
            </w:pPr>
            <w:r>
              <w:rPr>
                <w:rFonts w:ascii="Verdana" w:hAnsi="Verdana"/>
                <w:sz w:val="24"/>
                <w:szCs w:val="24"/>
              </w:rPr>
              <w:t>39,1</w:t>
            </w:r>
          </w:p>
        </w:tc>
        <w:tc>
          <w:tcPr>
            <w:tcW w:w="540" w:type="pct"/>
            <w:vAlign w:val="center"/>
          </w:tcPr>
          <w:p w14:paraId="15A5419C" w14:textId="4CE37162" w:rsidR="00CA273E" w:rsidRDefault="00C86213" w:rsidP="00980D21">
            <w:pPr>
              <w:jc w:val="center"/>
              <w:rPr>
                <w:rFonts w:ascii="Verdana" w:hAnsi="Verdana"/>
                <w:sz w:val="24"/>
                <w:szCs w:val="24"/>
              </w:rPr>
            </w:pPr>
            <w:r>
              <w:rPr>
                <w:rFonts w:ascii="Verdana" w:hAnsi="Verdana"/>
                <w:sz w:val="24"/>
                <w:szCs w:val="24"/>
              </w:rPr>
              <w:t>142</w:t>
            </w:r>
          </w:p>
        </w:tc>
        <w:tc>
          <w:tcPr>
            <w:tcW w:w="697" w:type="pct"/>
            <w:vAlign w:val="center"/>
          </w:tcPr>
          <w:p w14:paraId="7FD2ACA6" w14:textId="3B45EF72" w:rsidR="00CA273E" w:rsidRDefault="00C86213" w:rsidP="00980D21">
            <w:pPr>
              <w:jc w:val="center"/>
              <w:rPr>
                <w:rFonts w:ascii="Verdana" w:hAnsi="Verdana"/>
                <w:sz w:val="24"/>
                <w:szCs w:val="24"/>
              </w:rPr>
            </w:pPr>
            <w:r>
              <w:rPr>
                <w:rFonts w:ascii="Verdana" w:hAnsi="Verdana"/>
                <w:sz w:val="24"/>
                <w:szCs w:val="24"/>
              </w:rPr>
              <w:t>40,5</w:t>
            </w:r>
          </w:p>
        </w:tc>
        <w:tc>
          <w:tcPr>
            <w:tcW w:w="325" w:type="pct"/>
            <w:vAlign w:val="center"/>
          </w:tcPr>
          <w:p w14:paraId="5036583C" w14:textId="5B71BB0B" w:rsidR="00CA273E" w:rsidRDefault="00C86213" w:rsidP="00980D21">
            <w:pPr>
              <w:jc w:val="center"/>
              <w:rPr>
                <w:rFonts w:ascii="Verdana" w:hAnsi="Verdana"/>
                <w:sz w:val="24"/>
                <w:szCs w:val="24"/>
              </w:rPr>
            </w:pPr>
            <w:r>
              <w:rPr>
                <w:rFonts w:ascii="Verdana" w:hAnsi="Verdana"/>
                <w:sz w:val="24"/>
                <w:szCs w:val="24"/>
              </w:rPr>
              <w:t>234</w:t>
            </w:r>
          </w:p>
        </w:tc>
        <w:tc>
          <w:tcPr>
            <w:tcW w:w="432" w:type="pct"/>
            <w:vAlign w:val="center"/>
          </w:tcPr>
          <w:p w14:paraId="4FE3E06B" w14:textId="227A4B3F" w:rsidR="00CA273E" w:rsidRDefault="00C86213" w:rsidP="00980D21">
            <w:pPr>
              <w:jc w:val="center"/>
              <w:rPr>
                <w:rFonts w:ascii="Verdana" w:hAnsi="Verdana"/>
                <w:sz w:val="24"/>
                <w:szCs w:val="24"/>
              </w:rPr>
            </w:pPr>
            <w:r>
              <w:rPr>
                <w:rFonts w:ascii="Verdana" w:hAnsi="Verdana"/>
                <w:sz w:val="24"/>
                <w:szCs w:val="24"/>
              </w:rPr>
              <w:t>39,9</w:t>
            </w:r>
          </w:p>
        </w:tc>
      </w:tr>
      <w:tr w:rsidR="00CA273E" w14:paraId="41C1D62F" w14:textId="77777777" w:rsidTr="00980D21">
        <w:tc>
          <w:tcPr>
            <w:tcW w:w="1780" w:type="pct"/>
            <w:vAlign w:val="center"/>
          </w:tcPr>
          <w:p w14:paraId="41ACB43B" w14:textId="40344D0B" w:rsidR="00CA273E" w:rsidRDefault="00991296" w:rsidP="00980D21">
            <w:pPr>
              <w:jc w:val="center"/>
              <w:rPr>
                <w:rFonts w:ascii="Verdana" w:hAnsi="Verdana"/>
                <w:sz w:val="24"/>
                <w:szCs w:val="24"/>
              </w:rPr>
            </w:pPr>
            <w:r>
              <w:rPr>
                <w:rFonts w:ascii="Verdana" w:hAnsi="Verdana"/>
                <w:sz w:val="24"/>
                <w:szCs w:val="24"/>
              </w:rPr>
              <w:t>Obeso</w:t>
            </w:r>
          </w:p>
        </w:tc>
        <w:tc>
          <w:tcPr>
            <w:tcW w:w="535" w:type="pct"/>
            <w:vAlign w:val="center"/>
          </w:tcPr>
          <w:p w14:paraId="198B21F0" w14:textId="0EEF9549" w:rsidR="00CA273E" w:rsidRDefault="00C86213" w:rsidP="00980D21">
            <w:pPr>
              <w:jc w:val="center"/>
              <w:rPr>
                <w:rFonts w:ascii="Verdana" w:hAnsi="Verdana"/>
                <w:sz w:val="24"/>
                <w:szCs w:val="24"/>
              </w:rPr>
            </w:pPr>
            <w:r>
              <w:rPr>
                <w:rFonts w:ascii="Verdana" w:hAnsi="Verdana"/>
                <w:sz w:val="24"/>
                <w:szCs w:val="24"/>
              </w:rPr>
              <w:t>59</w:t>
            </w:r>
          </w:p>
        </w:tc>
        <w:tc>
          <w:tcPr>
            <w:tcW w:w="692" w:type="pct"/>
            <w:vAlign w:val="center"/>
          </w:tcPr>
          <w:p w14:paraId="09A1BA40" w14:textId="73275265" w:rsidR="00CA273E" w:rsidRDefault="00C86213" w:rsidP="00980D21">
            <w:pPr>
              <w:jc w:val="center"/>
              <w:rPr>
                <w:rFonts w:ascii="Verdana" w:hAnsi="Verdana"/>
                <w:sz w:val="24"/>
                <w:szCs w:val="24"/>
              </w:rPr>
            </w:pPr>
            <w:r>
              <w:rPr>
                <w:rFonts w:ascii="Verdana" w:hAnsi="Verdana"/>
                <w:sz w:val="24"/>
                <w:szCs w:val="24"/>
              </w:rPr>
              <w:t>25,1</w:t>
            </w:r>
          </w:p>
        </w:tc>
        <w:tc>
          <w:tcPr>
            <w:tcW w:w="540" w:type="pct"/>
            <w:vAlign w:val="center"/>
          </w:tcPr>
          <w:p w14:paraId="1C72D65C" w14:textId="434DB0BC" w:rsidR="00CA273E" w:rsidRDefault="00C86213" w:rsidP="00980D21">
            <w:pPr>
              <w:jc w:val="center"/>
              <w:rPr>
                <w:rFonts w:ascii="Verdana" w:hAnsi="Verdana"/>
                <w:sz w:val="24"/>
                <w:szCs w:val="24"/>
              </w:rPr>
            </w:pPr>
            <w:r>
              <w:rPr>
                <w:rFonts w:ascii="Verdana" w:hAnsi="Verdana"/>
                <w:sz w:val="24"/>
                <w:szCs w:val="24"/>
              </w:rPr>
              <w:t>74</w:t>
            </w:r>
          </w:p>
        </w:tc>
        <w:tc>
          <w:tcPr>
            <w:tcW w:w="697" w:type="pct"/>
            <w:vAlign w:val="center"/>
          </w:tcPr>
          <w:p w14:paraId="7C96483B" w14:textId="7EBB3503" w:rsidR="00CA273E" w:rsidRDefault="00C86213" w:rsidP="00980D21">
            <w:pPr>
              <w:jc w:val="center"/>
              <w:rPr>
                <w:rFonts w:ascii="Verdana" w:hAnsi="Verdana"/>
                <w:sz w:val="24"/>
                <w:szCs w:val="24"/>
              </w:rPr>
            </w:pPr>
            <w:r>
              <w:rPr>
                <w:rFonts w:ascii="Verdana" w:hAnsi="Verdana"/>
                <w:sz w:val="24"/>
                <w:szCs w:val="24"/>
              </w:rPr>
              <w:t>21,1</w:t>
            </w:r>
          </w:p>
        </w:tc>
        <w:tc>
          <w:tcPr>
            <w:tcW w:w="325" w:type="pct"/>
            <w:vAlign w:val="center"/>
          </w:tcPr>
          <w:p w14:paraId="2C5E0435" w14:textId="13653690" w:rsidR="00CA273E" w:rsidRDefault="00C86213" w:rsidP="00980D21">
            <w:pPr>
              <w:jc w:val="center"/>
              <w:rPr>
                <w:rFonts w:ascii="Verdana" w:hAnsi="Verdana"/>
                <w:sz w:val="24"/>
                <w:szCs w:val="24"/>
              </w:rPr>
            </w:pPr>
            <w:r>
              <w:rPr>
                <w:rFonts w:ascii="Verdana" w:hAnsi="Verdana"/>
                <w:sz w:val="24"/>
                <w:szCs w:val="24"/>
              </w:rPr>
              <w:t>133</w:t>
            </w:r>
          </w:p>
        </w:tc>
        <w:tc>
          <w:tcPr>
            <w:tcW w:w="432" w:type="pct"/>
            <w:vAlign w:val="center"/>
          </w:tcPr>
          <w:p w14:paraId="2DD43A00" w14:textId="5AFA50F2" w:rsidR="00CA273E" w:rsidRDefault="00C86213" w:rsidP="00980D21">
            <w:pPr>
              <w:jc w:val="center"/>
              <w:rPr>
                <w:rFonts w:ascii="Verdana" w:hAnsi="Verdana"/>
                <w:sz w:val="24"/>
                <w:szCs w:val="24"/>
              </w:rPr>
            </w:pPr>
            <w:r>
              <w:rPr>
                <w:rFonts w:ascii="Verdana" w:hAnsi="Verdana"/>
                <w:sz w:val="24"/>
                <w:szCs w:val="24"/>
              </w:rPr>
              <w:t>22,7</w:t>
            </w:r>
          </w:p>
        </w:tc>
      </w:tr>
      <w:tr w:rsidR="008B112F" w14:paraId="4569DBAC" w14:textId="77777777" w:rsidTr="00980D21">
        <w:tc>
          <w:tcPr>
            <w:tcW w:w="1780" w:type="pct"/>
            <w:vAlign w:val="center"/>
          </w:tcPr>
          <w:p w14:paraId="4036C19C" w14:textId="25C5A48A" w:rsidR="008B112F" w:rsidRDefault="00991296" w:rsidP="00980D21">
            <w:pPr>
              <w:jc w:val="center"/>
              <w:rPr>
                <w:rFonts w:ascii="Verdana" w:hAnsi="Verdana"/>
                <w:sz w:val="24"/>
                <w:szCs w:val="24"/>
              </w:rPr>
            </w:pPr>
            <w:r>
              <w:rPr>
                <w:rFonts w:ascii="Verdana" w:hAnsi="Verdana"/>
                <w:sz w:val="24"/>
                <w:szCs w:val="24"/>
              </w:rPr>
              <w:t>Sobrepeso</w:t>
            </w:r>
          </w:p>
        </w:tc>
        <w:tc>
          <w:tcPr>
            <w:tcW w:w="535" w:type="pct"/>
            <w:vAlign w:val="center"/>
          </w:tcPr>
          <w:p w14:paraId="0FAE62FA" w14:textId="39C50B92" w:rsidR="008B112F" w:rsidRDefault="00C86213" w:rsidP="00980D21">
            <w:pPr>
              <w:jc w:val="center"/>
              <w:rPr>
                <w:rFonts w:ascii="Verdana" w:hAnsi="Verdana"/>
                <w:sz w:val="24"/>
                <w:szCs w:val="24"/>
              </w:rPr>
            </w:pPr>
            <w:r>
              <w:rPr>
                <w:rFonts w:ascii="Verdana" w:hAnsi="Verdana"/>
                <w:sz w:val="24"/>
                <w:szCs w:val="24"/>
              </w:rPr>
              <w:t>83</w:t>
            </w:r>
          </w:p>
        </w:tc>
        <w:tc>
          <w:tcPr>
            <w:tcW w:w="692" w:type="pct"/>
            <w:vAlign w:val="center"/>
          </w:tcPr>
          <w:p w14:paraId="3017DA7A" w14:textId="704FB7A8" w:rsidR="008B112F" w:rsidRDefault="00C86213" w:rsidP="00980D21">
            <w:pPr>
              <w:jc w:val="center"/>
              <w:rPr>
                <w:rFonts w:ascii="Verdana" w:hAnsi="Verdana"/>
                <w:sz w:val="24"/>
                <w:szCs w:val="24"/>
              </w:rPr>
            </w:pPr>
            <w:r>
              <w:rPr>
                <w:rFonts w:ascii="Verdana" w:hAnsi="Verdana"/>
                <w:sz w:val="24"/>
                <w:szCs w:val="24"/>
              </w:rPr>
              <w:t>35,3</w:t>
            </w:r>
          </w:p>
        </w:tc>
        <w:tc>
          <w:tcPr>
            <w:tcW w:w="540" w:type="pct"/>
            <w:vAlign w:val="center"/>
          </w:tcPr>
          <w:p w14:paraId="1E254301" w14:textId="6B8428E4" w:rsidR="008B112F" w:rsidRDefault="00C86213" w:rsidP="00980D21">
            <w:pPr>
              <w:jc w:val="center"/>
              <w:rPr>
                <w:rFonts w:ascii="Verdana" w:hAnsi="Verdana"/>
                <w:sz w:val="24"/>
                <w:szCs w:val="24"/>
              </w:rPr>
            </w:pPr>
            <w:r>
              <w:rPr>
                <w:rFonts w:ascii="Verdana" w:hAnsi="Verdana"/>
                <w:sz w:val="24"/>
                <w:szCs w:val="24"/>
              </w:rPr>
              <w:t>141</w:t>
            </w:r>
          </w:p>
        </w:tc>
        <w:tc>
          <w:tcPr>
            <w:tcW w:w="697" w:type="pct"/>
            <w:vAlign w:val="center"/>
          </w:tcPr>
          <w:p w14:paraId="1688382F" w14:textId="430712A4" w:rsidR="008B112F" w:rsidRDefault="00C86213" w:rsidP="00980D21">
            <w:pPr>
              <w:jc w:val="center"/>
              <w:rPr>
                <w:rFonts w:ascii="Verdana" w:hAnsi="Verdana"/>
                <w:sz w:val="24"/>
                <w:szCs w:val="24"/>
              </w:rPr>
            </w:pPr>
            <w:r>
              <w:rPr>
                <w:rFonts w:ascii="Verdana" w:hAnsi="Verdana"/>
                <w:sz w:val="24"/>
                <w:szCs w:val="24"/>
              </w:rPr>
              <w:t>40,2</w:t>
            </w:r>
          </w:p>
        </w:tc>
        <w:tc>
          <w:tcPr>
            <w:tcW w:w="325" w:type="pct"/>
            <w:vAlign w:val="center"/>
          </w:tcPr>
          <w:p w14:paraId="02E02D1C" w14:textId="185C81F9" w:rsidR="008B112F" w:rsidRDefault="00C86213" w:rsidP="00980D21">
            <w:pPr>
              <w:jc w:val="center"/>
              <w:rPr>
                <w:rFonts w:ascii="Verdana" w:hAnsi="Verdana"/>
                <w:sz w:val="24"/>
                <w:szCs w:val="24"/>
              </w:rPr>
            </w:pPr>
            <w:r>
              <w:rPr>
                <w:rFonts w:ascii="Verdana" w:hAnsi="Verdana"/>
                <w:sz w:val="24"/>
                <w:szCs w:val="24"/>
              </w:rPr>
              <w:t>224</w:t>
            </w:r>
          </w:p>
        </w:tc>
        <w:tc>
          <w:tcPr>
            <w:tcW w:w="432" w:type="pct"/>
            <w:vAlign w:val="center"/>
          </w:tcPr>
          <w:p w14:paraId="6D2F29F7" w14:textId="0CFF8332" w:rsidR="008B112F" w:rsidRDefault="00C86213" w:rsidP="00980D21">
            <w:pPr>
              <w:jc w:val="center"/>
              <w:rPr>
                <w:rFonts w:ascii="Verdana" w:hAnsi="Verdana"/>
                <w:sz w:val="24"/>
                <w:szCs w:val="24"/>
              </w:rPr>
            </w:pPr>
            <w:r>
              <w:rPr>
                <w:rFonts w:ascii="Verdana" w:hAnsi="Verdana"/>
                <w:sz w:val="24"/>
                <w:szCs w:val="24"/>
              </w:rPr>
              <w:t>38,2</w:t>
            </w:r>
          </w:p>
        </w:tc>
      </w:tr>
      <w:tr w:rsidR="008B112F" w14:paraId="774D6758" w14:textId="77777777" w:rsidTr="00980D21">
        <w:tc>
          <w:tcPr>
            <w:tcW w:w="1780" w:type="pct"/>
            <w:vAlign w:val="center"/>
          </w:tcPr>
          <w:p w14:paraId="4B3F2804" w14:textId="6C014B24" w:rsidR="008B112F" w:rsidRDefault="00991296" w:rsidP="00980D21">
            <w:pPr>
              <w:jc w:val="center"/>
              <w:rPr>
                <w:rFonts w:ascii="Verdana" w:hAnsi="Verdana"/>
                <w:sz w:val="24"/>
                <w:szCs w:val="24"/>
              </w:rPr>
            </w:pPr>
            <w:proofErr w:type="spellStart"/>
            <w:r>
              <w:rPr>
                <w:rFonts w:ascii="Verdana" w:hAnsi="Verdana"/>
                <w:sz w:val="24"/>
                <w:szCs w:val="24"/>
              </w:rPr>
              <w:t>Normopeso</w:t>
            </w:r>
            <w:proofErr w:type="spellEnd"/>
          </w:p>
        </w:tc>
        <w:tc>
          <w:tcPr>
            <w:tcW w:w="535" w:type="pct"/>
            <w:vAlign w:val="center"/>
          </w:tcPr>
          <w:p w14:paraId="50EEFFA3" w14:textId="264E54A8" w:rsidR="008B112F" w:rsidRDefault="00C86213" w:rsidP="00980D21">
            <w:pPr>
              <w:jc w:val="center"/>
              <w:rPr>
                <w:rFonts w:ascii="Verdana" w:hAnsi="Verdana"/>
                <w:sz w:val="24"/>
                <w:szCs w:val="24"/>
              </w:rPr>
            </w:pPr>
            <w:r>
              <w:rPr>
                <w:rFonts w:ascii="Verdana" w:hAnsi="Verdana"/>
                <w:sz w:val="24"/>
                <w:szCs w:val="24"/>
              </w:rPr>
              <w:t>93</w:t>
            </w:r>
          </w:p>
        </w:tc>
        <w:tc>
          <w:tcPr>
            <w:tcW w:w="692" w:type="pct"/>
            <w:vAlign w:val="center"/>
          </w:tcPr>
          <w:p w14:paraId="7BD1F66A" w14:textId="13538D97" w:rsidR="008B112F" w:rsidRDefault="00C86213" w:rsidP="00980D21">
            <w:pPr>
              <w:jc w:val="center"/>
              <w:rPr>
                <w:rFonts w:ascii="Verdana" w:hAnsi="Verdana"/>
                <w:sz w:val="24"/>
                <w:szCs w:val="24"/>
              </w:rPr>
            </w:pPr>
            <w:r>
              <w:rPr>
                <w:rFonts w:ascii="Verdana" w:hAnsi="Verdana"/>
                <w:sz w:val="24"/>
                <w:szCs w:val="24"/>
              </w:rPr>
              <w:t>39,6</w:t>
            </w:r>
          </w:p>
        </w:tc>
        <w:tc>
          <w:tcPr>
            <w:tcW w:w="540" w:type="pct"/>
            <w:vAlign w:val="center"/>
          </w:tcPr>
          <w:p w14:paraId="40E7376B" w14:textId="1C89EAB6" w:rsidR="008B112F" w:rsidRDefault="00C86213" w:rsidP="00980D21">
            <w:pPr>
              <w:jc w:val="center"/>
              <w:rPr>
                <w:rFonts w:ascii="Verdana" w:hAnsi="Verdana"/>
                <w:sz w:val="24"/>
                <w:szCs w:val="24"/>
              </w:rPr>
            </w:pPr>
            <w:r>
              <w:rPr>
                <w:rFonts w:ascii="Verdana" w:hAnsi="Verdana"/>
                <w:sz w:val="24"/>
                <w:szCs w:val="24"/>
              </w:rPr>
              <w:t>136</w:t>
            </w:r>
          </w:p>
        </w:tc>
        <w:tc>
          <w:tcPr>
            <w:tcW w:w="697" w:type="pct"/>
            <w:vAlign w:val="center"/>
          </w:tcPr>
          <w:p w14:paraId="0145E7E8" w14:textId="00EA245C" w:rsidR="008B112F" w:rsidRDefault="00C86213" w:rsidP="00980D21">
            <w:pPr>
              <w:jc w:val="center"/>
              <w:rPr>
                <w:rFonts w:ascii="Verdana" w:hAnsi="Verdana"/>
                <w:sz w:val="24"/>
                <w:szCs w:val="24"/>
              </w:rPr>
            </w:pPr>
            <w:r>
              <w:rPr>
                <w:rFonts w:ascii="Verdana" w:hAnsi="Verdana"/>
                <w:sz w:val="24"/>
                <w:szCs w:val="24"/>
              </w:rPr>
              <w:t>38,7</w:t>
            </w:r>
          </w:p>
        </w:tc>
        <w:tc>
          <w:tcPr>
            <w:tcW w:w="325" w:type="pct"/>
            <w:vAlign w:val="center"/>
          </w:tcPr>
          <w:p w14:paraId="71DE4F33" w14:textId="5451F3E9" w:rsidR="008B112F" w:rsidRDefault="00C86213" w:rsidP="00980D21">
            <w:pPr>
              <w:jc w:val="center"/>
              <w:rPr>
                <w:rFonts w:ascii="Verdana" w:hAnsi="Verdana"/>
                <w:sz w:val="24"/>
                <w:szCs w:val="24"/>
              </w:rPr>
            </w:pPr>
            <w:r>
              <w:rPr>
                <w:rFonts w:ascii="Verdana" w:hAnsi="Verdana"/>
                <w:sz w:val="24"/>
                <w:szCs w:val="24"/>
              </w:rPr>
              <w:t>229</w:t>
            </w:r>
          </w:p>
        </w:tc>
        <w:tc>
          <w:tcPr>
            <w:tcW w:w="432" w:type="pct"/>
            <w:vAlign w:val="center"/>
          </w:tcPr>
          <w:p w14:paraId="78913FE7" w14:textId="732ABDDC" w:rsidR="008B112F" w:rsidRDefault="00C86213" w:rsidP="00980D21">
            <w:pPr>
              <w:jc w:val="center"/>
              <w:rPr>
                <w:rFonts w:ascii="Verdana" w:hAnsi="Verdana"/>
                <w:sz w:val="24"/>
                <w:szCs w:val="24"/>
              </w:rPr>
            </w:pPr>
            <w:r>
              <w:rPr>
                <w:rFonts w:ascii="Verdana" w:hAnsi="Verdana"/>
                <w:sz w:val="24"/>
                <w:szCs w:val="24"/>
              </w:rPr>
              <w:t>39,1</w:t>
            </w:r>
          </w:p>
        </w:tc>
      </w:tr>
      <w:tr w:rsidR="00CA273E" w14:paraId="2BE5FEB0" w14:textId="77777777" w:rsidTr="00980D21">
        <w:tc>
          <w:tcPr>
            <w:tcW w:w="1780" w:type="pct"/>
            <w:vAlign w:val="center"/>
          </w:tcPr>
          <w:p w14:paraId="0B7FBA00" w14:textId="2ADBFEA9" w:rsidR="00CA273E" w:rsidRDefault="00CA273E" w:rsidP="00980D21">
            <w:pPr>
              <w:jc w:val="center"/>
              <w:rPr>
                <w:rFonts w:ascii="Verdana" w:hAnsi="Verdana"/>
                <w:sz w:val="24"/>
                <w:szCs w:val="24"/>
              </w:rPr>
            </w:pPr>
            <w:r>
              <w:rPr>
                <w:rFonts w:ascii="Verdana" w:hAnsi="Verdana"/>
                <w:sz w:val="24"/>
                <w:szCs w:val="24"/>
              </w:rPr>
              <w:t>Total</w:t>
            </w:r>
          </w:p>
        </w:tc>
        <w:tc>
          <w:tcPr>
            <w:tcW w:w="535" w:type="pct"/>
            <w:vAlign w:val="center"/>
          </w:tcPr>
          <w:p w14:paraId="3E0F3AFD" w14:textId="4F4D397B" w:rsidR="00CA273E" w:rsidRDefault="00C86213" w:rsidP="00980D21">
            <w:pPr>
              <w:jc w:val="center"/>
              <w:rPr>
                <w:rFonts w:ascii="Verdana" w:hAnsi="Verdana"/>
                <w:sz w:val="24"/>
                <w:szCs w:val="24"/>
              </w:rPr>
            </w:pPr>
            <w:r>
              <w:rPr>
                <w:rFonts w:ascii="Verdana" w:hAnsi="Verdana"/>
                <w:sz w:val="24"/>
                <w:szCs w:val="24"/>
              </w:rPr>
              <w:t>235</w:t>
            </w:r>
          </w:p>
        </w:tc>
        <w:tc>
          <w:tcPr>
            <w:tcW w:w="692" w:type="pct"/>
            <w:vAlign w:val="center"/>
          </w:tcPr>
          <w:p w14:paraId="6956D417" w14:textId="76B80900" w:rsidR="00CA273E" w:rsidRDefault="00C86213" w:rsidP="00980D21">
            <w:pPr>
              <w:jc w:val="center"/>
              <w:rPr>
                <w:rFonts w:ascii="Verdana" w:hAnsi="Verdana"/>
                <w:sz w:val="24"/>
                <w:szCs w:val="24"/>
              </w:rPr>
            </w:pPr>
            <w:r>
              <w:rPr>
                <w:rFonts w:ascii="Verdana" w:hAnsi="Verdana"/>
                <w:sz w:val="24"/>
                <w:szCs w:val="24"/>
              </w:rPr>
              <w:t>100</w:t>
            </w:r>
          </w:p>
        </w:tc>
        <w:tc>
          <w:tcPr>
            <w:tcW w:w="540" w:type="pct"/>
            <w:vAlign w:val="center"/>
          </w:tcPr>
          <w:p w14:paraId="43135F41" w14:textId="05B2B8D1" w:rsidR="00CA273E" w:rsidRDefault="00C86213" w:rsidP="00980D21">
            <w:pPr>
              <w:jc w:val="center"/>
              <w:rPr>
                <w:rFonts w:ascii="Verdana" w:hAnsi="Verdana"/>
                <w:sz w:val="24"/>
                <w:szCs w:val="24"/>
              </w:rPr>
            </w:pPr>
            <w:r>
              <w:rPr>
                <w:rFonts w:ascii="Verdana" w:hAnsi="Verdana"/>
                <w:sz w:val="24"/>
                <w:szCs w:val="24"/>
              </w:rPr>
              <w:t>351</w:t>
            </w:r>
          </w:p>
        </w:tc>
        <w:tc>
          <w:tcPr>
            <w:tcW w:w="697" w:type="pct"/>
            <w:vAlign w:val="center"/>
          </w:tcPr>
          <w:p w14:paraId="593A25D7" w14:textId="14666A3C" w:rsidR="00CA273E" w:rsidRDefault="00C86213" w:rsidP="00980D21">
            <w:pPr>
              <w:jc w:val="center"/>
              <w:rPr>
                <w:rFonts w:ascii="Verdana" w:hAnsi="Verdana"/>
                <w:sz w:val="24"/>
                <w:szCs w:val="24"/>
              </w:rPr>
            </w:pPr>
            <w:r>
              <w:rPr>
                <w:rFonts w:ascii="Verdana" w:hAnsi="Verdana"/>
                <w:sz w:val="24"/>
                <w:szCs w:val="24"/>
              </w:rPr>
              <w:t>100</w:t>
            </w:r>
          </w:p>
        </w:tc>
        <w:tc>
          <w:tcPr>
            <w:tcW w:w="325" w:type="pct"/>
            <w:vAlign w:val="center"/>
          </w:tcPr>
          <w:p w14:paraId="26CA9228" w14:textId="310D4E26" w:rsidR="00CA273E" w:rsidRDefault="00C86213" w:rsidP="00980D21">
            <w:pPr>
              <w:jc w:val="center"/>
              <w:rPr>
                <w:rFonts w:ascii="Verdana" w:hAnsi="Verdana"/>
                <w:sz w:val="24"/>
                <w:szCs w:val="24"/>
              </w:rPr>
            </w:pPr>
            <w:r>
              <w:rPr>
                <w:rFonts w:ascii="Verdana" w:hAnsi="Verdana"/>
                <w:sz w:val="24"/>
                <w:szCs w:val="24"/>
              </w:rPr>
              <w:t>586</w:t>
            </w:r>
          </w:p>
        </w:tc>
        <w:tc>
          <w:tcPr>
            <w:tcW w:w="432" w:type="pct"/>
            <w:vAlign w:val="center"/>
          </w:tcPr>
          <w:p w14:paraId="4455D555" w14:textId="7ABF8D42" w:rsidR="00CA273E" w:rsidRDefault="00C86213" w:rsidP="00980D21">
            <w:pPr>
              <w:jc w:val="center"/>
              <w:rPr>
                <w:rFonts w:ascii="Verdana" w:hAnsi="Verdana"/>
                <w:sz w:val="24"/>
                <w:szCs w:val="24"/>
              </w:rPr>
            </w:pPr>
            <w:r>
              <w:rPr>
                <w:rFonts w:ascii="Verdana" w:hAnsi="Verdana"/>
                <w:sz w:val="24"/>
                <w:szCs w:val="24"/>
              </w:rPr>
              <w:t>100</w:t>
            </w:r>
          </w:p>
        </w:tc>
      </w:tr>
      <w:bookmarkEnd w:id="1"/>
    </w:tbl>
    <w:p w14:paraId="75460AA7" w14:textId="77777777" w:rsidR="00CA273E" w:rsidRDefault="00CA273E" w:rsidP="00025FC1">
      <w:pPr>
        <w:spacing w:line="240" w:lineRule="auto"/>
        <w:jc w:val="both"/>
        <w:rPr>
          <w:rFonts w:ascii="Verdana" w:hAnsi="Verdana"/>
          <w:sz w:val="24"/>
          <w:szCs w:val="24"/>
        </w:rPr>
      </w:pPr>
    </w:p>
    <w:p w14:paraId="4514626A" w14:textId="52FE24F9" w:rsidR="00E21193" w:rsidRDefault="00B927B5" w:rsidP="00025FC1">
      <w:pPr>
        <w:spacing w:line="240" w:lineRule="auto"/>
        <w:jc w:val="both"/>
        <w:rPr>
          <w:rFonts w:ascii="Verdana" w:hAnsi="Verdana"/>
          <w:sz w:val="24"/>
          <w:szCs w:val="24"/>
        </w:rPr>
      </w:pPr>
      <w:r>
        <w:rPr>
          <w:rFonts w:ascii="Verdana" w:hAnsi="Verdana"/>
          <w:sz w:val="24"/>
          <w:szCs w:val="24"/>
        </w:rPr>
        <w:t xml:space="preserve">La tabla 2 muestra que se diagnosticaron 94 pacientes con </w:t>
      </w:r>
      <w:proofErr w:type="spellStart"/>
      <w:r>
        <w:rPr>
          <w:rFonts w:ascii="Verdana" w:hAnsi="Verdana"/>
          <w:sz w:val="24"/>
          <w:szCs w:val="24"/>
        </w:rPr>
        <w:t>disglucemia</w:t>
      </w:r>
      <w:proofErr w:type="spellEnd"/>
      <w:r>
        <w:rPr>
          <w:rFonts w:ascii="Verdana" w:hAnsi="Verdana"/>
          <w:sz w:val="24"/>
          <w:szCs w:val="24"/>
        </w:rPr>
        <w:t xml:space="preserve"> con la PTG-1h</w:t>
      </w:r>
      <w:r w:rsidR="00CA3B26">
        <w:rPr>
          <w:rFonts w:ascii="Verdana" w:hAnsi="Verdana"/>
          <w:sz w:val="24"/>
          <w:szCs w:val="24"/>
        </w:rPr>
        <w:t>, mientras que con la PTG-2h se encontraron 14 pacientes menos (80 pacientes) con esta condición. A su vez, la PTG-1h f</w:t>
      </w:r>
      <w:r>
        <w:rPr>
          <w:rFonts w:ascii="Verdana" w:hAnsi="Verdana"/>
          <w:sz w:val="24"/>
          <w:szCs w:val="24"/>
        </w:rPr>
        <w:t>ue más sensible en la categoría de prediabetes, donde encontró 10 pacientes más (1,7 %). En la categoría de diabetes también encontró cuatro pacientes más (0,7 %).</w:t>
      </w:r>
    </w:p>
    <w:p w14:paraId="5B4383C5" w14:textId="2F5D5B1F" w:rsidR="00AF0169" w:rsidRPr="008B112F" w:rsidRDefault="00AF0169" w:rsidP="00AF0169">
      <w:pPr>
        <w:pStyle w:val="Epgrafe"/>
        <w:keepNext/>
        <w:rPr>
          <w:rFonts w:ascii="Verdana" w:hAnsi="Verdana"/>
          <w:i w:val="0"/>
          <w:iCs w:val="0"/>
          <w:color w:val="auto"/>
          <w:sz w:val="24"/>
          <w:szCs w:val="24"/>
        </w:rPr>
      </w:pPr>
      <w:r w:rsidRPr="008B112F">
        <w:rPr>
          <w:rFonts w:ascii="Verdana" w:hAnsi="Verdana"/>
          <w:i w:val="0"/>
          <w:iCs w:val="0"/>
          <w:color w:val="auto"/>
          <w:sz w:val="24"/>
          <w:szCs w:val="24"/>
        </w:rPr>
        <w:t xml:space="preserve">Tabla </w:t>
      </w:r>
      <w:r w:rsidRPr="008B112F">
        <w:rPr>
          <w:rFonts w:ascii="Verdana" w:hAnsi="Verdana"/>
          <w:i w:val="0"/>
          <w:iCs w:val="0"/>
          <w:color w:val="auto"/>
          <w:sz w:val="24"/>
          <w:szCs w:val="24"/>
        </w:rPr>
        <w:fldChar w:fldCharType="begin"/>
      </w:r>
      <w:r w:rsidRPr="008B112F">
        <w:rPr>
          <w:rFonts w:ascii="Verdana" w:hAnsi="Verdana"/>
          <w:i w:val="0"/>
          <w:iCs w:val="0"/>
          <w:color w:val="auto"/>
          <w:sz w:val="24"/>
          <w:szCs w:val="24"/>
        </w:rPr>
        <w:instrText xml:space="preserve"> SEQ Tabla \* ARABIC </w:instrText>
      </w:r>
      <w:r w:rsidRPr="008B112F">
        <w:rPr>
          <w:rFonts w:ascii="Verdana" w:hAnsi="Verdana"/>
          <w:i w:val="0"/>
          <w:iCs w:val="0"/>
          <w:color w:val="auto"/>
          <w:sz w:val="24"/>
          <w:szCs w:val="24"/>
        </w:rPr>
        <w:fldChar w:fldCharType="separate"/>
      </w:r>
      <w:r w:rsidR="00D35E10">
        <w:rPr>
          <w:rFonts w:ascii="Verdana" w:hAnsi="Verdana"/>
          <w:i w:val="0"/>
          <w:iCs w:val="0"/>
          <w:noProof/>
          <w:color w:val="auto"/>
          <w:sz w:val="24"/>
          <w:szCs w:val="24"/>
        </w:rPr>
        <w:t>2</w:t>
      </w:r>
      <w:r w:rsidRPr="008B112F">
        <w:rPr>
          <w:rFonts w:ascii="Verdana" w:hAnsi="Verdana"/>
          <w:i w:val="0"/>
          <w:iCs w:val="0"/>
          <w:color w:val="auto"/>
          <w:sz w:val="24"/>
          <w:szCs w:val="24"/>
        </w:rPr>
        <w:fldChar w:fldCharType="end"/>
      </w:r>
      <w:r w:rsidRPr="008B112F">
        <w:rPr>
          <w:rFonts w:ascii="Verdana" w:hAnsi="Verdana"/>
          <w:i w:val="0"/>
          <w:iCs w:val="0"/>
          <w:color w:val="auto"/>
          <w:sz w:val="24"/>
          <w:szCs w:val="24"/>
        </w:rPr>
        <w:t>. Clasificación del estado glucémico según la modalidad de prueba de tolerancia a la glucosa realizada</w:t>
      </w:r>
    </w:p>
    <w:tbl>
      <w:tblPr>
        <w:tblStyle w:val="Tablaconcuadrcula"/>
        <w:tblW w:w="5000" w:type="pct"/>
        <w:tblLook w:val="04A0" w:firstRow="1" w:lastRow="0" w:firstColumn="1" w:lastColumn="0" w:noHBand="0" w:noVBand="1"/>
      </w:tblPr>
      <w:tblGrid>
        <w:gridCol w:w="2674"/>
        <w:gridCol w:w="523"/>
        <w:gridCol w:w="760"/>
        <w:gridCol w:w="659"/>
        <w:gridCol w:w="968"/>
        <w:gridCol w:w="993"/>
        <w:gridCol w:w="1129"/>
        <w:gridCol w:w="674"/>
        <w:gridCol w:w="674"/>
      </w:tblGrid>
      <w:tr w:rsidR="00AF0169" w14:paraId="0DCE570E" w14:textId="3CF47A11" w:rsidTr="0010061B">
        <w:tc>
          <w:tcPr>
            <w:tcW w:w="1487" w:type="pct"/>
            <w:vMerge w:val="restart"/>
            <w:vAlign w:val="center"/>
          </w:tcPr>
          <w:p w14:paraId="47C43C4C" w14:textId="5E0D398B" w:rsidR="00AF0169" w:rsidRDefault="00AF0169" w:rsidP="00AF0169">
            <w:pPr>
              <w:jc w:val="center"/>
              <w:rPr>
                <w:rFonts w:ascii="Verdana" w:hAnsi="Verdana"/>
                <w:sz w:val="24"/>
                <w:szCs w:val="24"/>
              </w:rPr>
            </w:pPr>
            <w:r>
              <w:rPr>
                <w:rFonts w:ascii="Verdana" w:hAnsi="Verdana"/>
                <w:sz w:val="24"/>
                <w:szCs w:val="24"/>
              </w:rPr>
              <w:t>Prueba de tolerancia a la glucosa</w:t>
            </w:r>
          </w:p>
        </w:tc>
        <w:tc>
          <w:tcPr>
            <w:tcW w:w="2836" w:type="pct"/>
            <w:gridSpan w:val="6"/>
            <w:vAlign w:val="center"/>
          </w:tcPr>
          <w:p w14:paraId="28ECB3FC" w14:textId="51B972CE" w:rsidR="00AF0169" w:rsidRDefault="00AF0169" w:rsidP="00AF0169">
            <w:pPr>
              <w:jc w:val="center"/>
              <w:rPr>
                <w:rFonts w:ascii="Verdana" w:hAnsi="Verdana"/>
                <w:sz w:val="24"/>
                <w:szCs w:val="24"/>
              </w:rPr>
            </w:pPr>
            <w:r>
              <w:rPr>
                <w:rFonts w:ascii="Verdana" w:hAnsi="Verdana"/>
                <w:sz w:val="24"/>
                <w:szCs w:val="24"/>
              </w:rPr>
              <w:t>Estado glucémico</w:t>
            </w:r>
          </w:p>
        </w:tc>
        <w:tc>
          <w:tcPr>
            <w:tcW w:w="677" w:type="pct"/>
            <w:gridSpan w:val="2"/>
            <w:vMerge w:val="restart"/>
            <w:vAlign w:val="center"/>
          </w:tcPr>
          <w:p w14:paraId="09FBA3F0" w14:textId="3C65656F" w:rsidR="00AF0169" w:rsidRDefault="00AF0169" w:rsidP="00AF0169">
            <w:pPr>
              <w:jc w:val="center"/>
              <w:rPr>
                <w:rFonts w:ascii="Verdana" w:hAnsi="Verdana"/>
                <w:sz w:val="24"/>
                <w:szCs w:val="24"/>
              </w:rPr>
            </w:pPr>
            <w:r>
              <w:rPr>
                <w:rFonts w:ascii="Verdana" w:hAnsi="Verdana"/>
                <w:sz w:val="24"/>
                <w:szCs w:val="24"/>
              </w:rPr>
              <w:t>Total</w:t>
            </w:r>
          </w:p>
        </w:tc>
      </w:tr>
      <w:tr w:rsidR="00AF0169" w14:paraId="06A6A7C2" w14:textId="15CCE5CA" w:rsidTr="0010061B">
        <w:tc>
          <w:tcPr>
            <w:tcW w:w="1487" w:type="pct"/>
            <w:vMerge/>
            <w:vAlign w:val="center"/>
          </w:tcPr>
          <w:p w14:paraId="3FEE7918" w14:textId="77777777" w:rsidR="00AF0169" w:rsidRDefault="00AF0169" w:rsidP="00AF0169">
            <w:pPr>
              <w:jc w:val="center"/>
              <w:rPr>
                <w:rFonts w:ascii="Verdana" w:hAnsi="Verdana"/>
                <w:sz w:val="24"/>
                <w:szCs w:val="24"/>
              </w:rPr>
            </w:pPr>
          </w:p>
        </w:tc>
        <w:tc>
          <w:tcPr>
            <w:tcW w:w="727" w:type="pct"/>
            <w:gridSpan w:val="2"/>
            <w:vAlign w:val="center"/>
          </w:tcPr>
          <w:p w14:paraId="3AA872B9" w14:textId="55780165" w:rsidR="00AF0169" w:rsidRDefault="00AF0169" w:rsidP="00AF0169">
            <w:pPr>
              <w:jc w:val="center"/>
              <w:rPr>
                <w:rFonts w:ascii="Verdana" w:hAnsi="Verdana"/>
                <w:sz w:val="24"/>
                <w:szCs w:val="24"/>
              </w:rPr>
            </w:pPr>
            <w:r>
              <w:rPr>
                <w:rFonts w:ascii="Verdana" w:hAnsi="Verdana"/>
                <w:sz w:val="24"/>
                <w:szCs w:val="24"/>
              </w:rPr>
              <w:t>Diabetes</w:t>
            </w:r>
          </w:p>
        </w:tc>
        <w:tc>
          <w:tcPr>
            <w:tcW w:w="918" w:type="pct"/>
            <w:gridSpan w:val="2"/>
            <w:vAlign w:val="center"/>
          </w:tcPr>
          <w:p w14:paraId="6B45F759" w14:textId="2494FA67" w:rsidR="00AF0169" w:rsidRDefault="00AF0169" w:rsidP="00AF0169">
            <w:pPr>
              <w:jc w:val="center"/>
              <w:rPr>
                <w:rFonts w:ascii="Verdana" w:hAnsi="Verdana"/>
                <w:sz w:val="24"/>
                <w:szCs w:val="24"/>
              </w:rPr>
            </w:pPr>
            <w:r>
              <w:rPr>
                <w:rFonts w:ascii="Verdana" w:hAnsi="Verdana"/>
                <w:sz w:val="24"/>
                <w:szCs w:val="24"/>
              </w:rPr>
              <w:t>Prediabetes</w:t>
            </w:r>
          </w:p>
        </w:tc>
        <w:tc>
          <w:tcPr>
            <w:tcW w:w="1191" w:type="pct"/>
            <w:gridSpan w:val="2"/>
            <w:vAlign w:val="center"/>
          </w:tcPr>
          <w:p w14:paraId="6BAFFF75" w14:textId="2169A889" w:rsidR="00AF0169" w:rsidRDefault="00AF0169" w:rsidP="00AF0169">
            <w:pPr>
              <w:jc w:val="center"/>
              <w:rPr>
                <w:rFonts w:ascii="Verdana" w:hAnsi="Verdana"/>
                <w:sz w:val="24"/>
                <w:szCs w:val="24"/>
              </w:rPr>
            </w:pPr>
            <w:proofErr w:type="spellStart"/>
            <w:r>
              <w:rPr>
                <w:rFonts w:ascii="Verdana" w:hAnsi="Verdana"/>
                <w:sz w:val="24"/>
                <w:szCs w:val="24"/>
              </w:rPr>
              <w:t>Normoglucemia</w:t>
            </w:r>
            <w:proofErr w:type="spellEnd"/>
          </w:p>
        </w:tc>
        <w:tc>
          <w:tcPr>
            <w:tcW w:w="677" w:type="pct"/>
            <w:gridSpan w:val="2"/>
            <w:vMerge/>
            <w:vAlign w:val="center"/>
          </w:tcPr>
          <w:p w14:paraId="70982150" w14:textId="77777777" w:rsidR="00AF0169" w:rsidRDefault="00AF0169" w:rsidP="00AF0169">
            <w:pPr>
              <w:jc w:val="center"/>
              <w:rPr>
                <w:rFonts w:ascii="Verdana" w:hAnsi="Verdana"/>
                <w:sz w:val="24"/>
                <w:szCs w:val="24"/>
              </w:rPr>
            </w:pPr>
          </w:p>
        </w:tc>
      </w:tr>
      <w:tr w:rsidR="00AF0169" w14:paraId="77359045" w14:textId="1742FD57" w:rsidTr="0010061B">
        <w:tc>
          <w:tcPr>
            <w:tcW w:w="1487" w:type="pct"/>
            <w:vMerge/>
            <w:vAlign w:val="center"/>
          </w:tcPr>
          <w:p w14:paraId="427E7D3E" w14:textId="77777777" w:rsidR="00AF0169" w:rsidRDefault="00AF0169" w:rsidP="00AF0169">
            <w:pPr>
              <w:jc w:val="center"/>
              <w:rPr>
                <w:rFonts w:ascii="Verdana" w:hAnsi="Verdana"/>
                <w:sz w:val="24"/>
                <w:szCs w:val="24"/>
              </w:rPr>
            </w:pPr>
          </w:p>
        </w:tc>
        <w:tc>
          <w:tcPr>
            <w:tcW w:w="296" w:type="pct"/>
            <w:vAlign w:val="center"/>
          </w:tcPr>
          <w:p w14:paraId="09977D1B" w14:textId="77777777" w:rsidR="00AF0169" w:rsidRPr="00CA273E" w:rsidRDefault="00AF0169" w:rsidP="00AF0169">
            <w:pPr>
              <w:jc w:val="center"/>
              <w:rPr>
                <w:rFonts w:ascii="Verdana" w:hAnsi="Verdana"/>
                <w:b/>
                <w:bCs/>
                <w:sz w:val="24"/>
                <w:szCs w:val="24"/>
              </w:rPr>
            </w:pPr>
            <w:r>
              <w:rPr>
                <w:rFonts w:ascii="Verdana" w:hAnsi="Verdana"/>
                <w:sz w:val="24"/>
                <w:szCs w:val="24"/>
              </w:rPr>
              <w:t>n</w:t>
            </w:r>
          </w:p>
        </w:tc>
        <w:tc>
          <w:tcPr>
            <w:tcW w:w="432" w:type="pct"/>
            <w:vAlign w:val="center"/>
          </w:tcPr>
          <w:p w14:paraId="13A73686" w14:textId="77777777" w:rsidR="00AF0169" w:rsidRPr="00CA273E" w:rsidRDefault="00AF0169" w:rsidP="00AF0169">
            <w:pPr>
              <w:jc w:val="center"/>
              <w:rPr>
                <w:rFonts w:ascii="Verdana" w:hAnsi="Verdana"/>
                <w:b/>
                <w:bCs/>
                <w:sz w:val="24"/>
                <w:szCs w:val="24"/>
              </w:rPr>
            </w:pPr>
            <w:r>
              <w:rPr>
                <w:rFonts w:ascii="Verdana" w:hAnsi="Verdana"/>
                <w:sz w:val="24"/>
                <w:szCs w:val="24"/>
              </w:rPr>
              <w:t>%</w:t>
            </w:r>
          </w:p>
        </w:tc>
        <w:tc>
          <w:tcPr>
            <w:tcW w:w="373" w:type="pct"/>
            <w:vAlign w:val="center"/>
          </w:tcPr>
          <w:p w14:paraId="10E3719F" w14:textId="77777777" w:rsidR="00AF0169" w:rsidRDefault="00AF0169" w:rsidP="00AF0169">
            <w:pPr>
              <w:jc w:val="center"/>
              <w:rPr>
                <w:rFonts w:ascii="Verdana" w:hAnsi="Verdana"/>
                <w:sz w:val="24"/>
                <w:szCs w:val="24"/>
              </w:rPr>
            </w:pPr>
            <w:r>
              <w:rPr>
                <w:rFonts w:ascii="Verdana" w:hAnsi="Verdana"/>
                <w:sz w:val="24"/>
                <w:szCs w:val="24"/>
              </w:rPr>
              <w:t>n</w:t>
            </w:r>
          </w:p>
        </w:tc>
        <w:tc>
          <w:tcPr>
            <w:tcW w:w="545" w:type="pct"/>
            <w:vAlign w:val="center"/>
          </w:tcPr>
          <w:p w14:paraId="008AAA6C" w14:textId="77777777" w:rsidR="00AF0169" w:rsidRDefault="00AF0169" w:rsidP="00AF0169">
            <w:pPr>
              <w:jc w:val="center"/>
              <w:rPr>
                <w:rFonts w:ascii="Verdana" w:hAnsi="Verdana"/>
                <w:sz w:val="24"/>
                <w:szCs w:val="24"/>
              </w:rPr>
            </w:pPr>
            <w:r>
              <w:rPr>
                <w:rFonts w:ascii="Verdana" w:hAnsi="Verdana"/>
                <w:sz w:val="24"/>
                <w:szCs w:val="24"/>
              </w:rPr>
              <w:t>%</w:t>
            </w:r>
          </w:p>
        </w:tc>
        <w:tc>
          <w:tcPr>
            <w:tcW w:w="558" w:type="pct"/>
            <w:vAlign w:val="center"/>
          </w:tcPr>
          <w:p w14:paraId="36FD049B" w14:textId="5E8F68B8" w:rsidR="00AF0169" w:rsidRDefault="00AF0169" w:rsidP="00AF0169">
            <w:pPr>
              <w:jc w:val="center"/>
              <w:rPr>
                <w:rFonts w:ascii="Verdana" w:hAnsi="Verdana"/>
                <w:sz w:val="24"/>
                <w:szCs w:val="24"/>
              </w:rPr>
            </w:pPr>
            <w:r>
              <w:rPr>
                <w:rFonts w:ascii="Verdana" w:hAnsi="Verdana"/>
                <w:sz w:val="24"/>
                <w:szCs w:val="24"/>
              </w:rPr>
              <w:t>n</w:t>
            </w:r>
          </w:p>
        </w:tc>
        <w:tc>
          <w:tcPr>
            <w:tcW w:w="632" w:type="pct"/>
            <w:vAlign w:val="center"/>
          </w:tcPr>
          <w:p w14:paraId="3969015E" w14:textId="3EB1471E" w:rsidR="00AF0169" w:rsidRDefault="00AF0169" w:rsidP="00AF0169">
            <w:pPr>
              <w:jc w:val="center"/>
              <w:rPr>
                <w:rFonts w:ascii="Verdana" w:hAnsi="Verdana"/>
                <w:sz w:val="24"/>
                <w:szCs w:val="24"/>
              </w:rPr>
            </w:pPr>
            <w:r>
              <w:rPr>
                <w:rFonts w:ascii="Verdana" w:hAnsi="Verdana"/>
                <w:sz w:val="24"/>
                <w:szCs w:val="24"/>
              </w:rPr>
              <w:t>%</w:t>
            </w:r>
          </w:p>
        </w:tc>
        <w:tc>
          <w:tcPr>
            <w:tcW w:w="296" w:type="pct"/>
            <w:vAlign w:val="center"/>
          </w:tcPr>
          <w:p w14:paraId="4ECDE432" w14:textId="18F1284C" w:rsidR="00AF0169" w:rsidRDefault="00AF0169" w:rsidP="00AF0169">
            <w:pPr>
              <w:jc w:val="center"/>
              <w:rPr>
                <w:rFonts w:ascii="Verdana" w:hAnsi="Verdana"/>
                <w:sz w:val="24"/>
                <w:szCs w:val="24"/>
              </w:rPr>
            </w:pPr>
            <w:r>
              <w:rPr>
                <w:rFonts w:ascii="Verdana" w:hAnsi="Verdana"/>
                <w:sz w:val="24"/>
                <w:szCs w:val="24"/>
              </w:rPr>
              <w:t>n</w:t>
            </w:r>
          </w:p>
        </w:tc>
        <w:tc>
          <w:tcPr>
            <w:tcW w:w="382" w:type="pct"/>
            <w:vAlign w:val="center"/>
          </w:tcPr>
          <w:p w14:paraId="7FFDAF12" w14:textId="76A39E55" w:rsidR="00AF0169" w:rsidRDefault="00AF0169" w:rsidP="00AF0169">
            <w:pPr>
              <w:jc w:val="center"/>
              <w:rPr>
                <w:rFonts w:ascii="Verdana" w:hAnsi="Verdana"/>
                <w:sz w:val="24"/>
                <w:szCs w:val="24"/>
              </w:rPr>
            </w:pPr>
            <w:r>
              <w:rPr>
                <w:rFonts w:ascii="Verdana" w:hAnsi="Verdana"/>
                <w:sz w:val="24"/>
                <w:szCs w:val="24"/>
              </w:rPr>
              <w:t>%</w:t>
            </w:r>
          </w:p>
        </w:tc>
      </w:tr>
      <w:tr w:rsidR="00AF0169" w14:paraId="10A002E3" w14:textId="423235C8" w:rsidTr="0010061B">
        <w:tc>
          <w:tcPr>
            <w:tcW w:w="1487" w:type="pct"/>
            <w:vAlign w:val="center"/>
          </w:tcPr>
          <w:p w14:paraId="5CECB0EF" w14:textId="1078BA72" w:rsidR="00AF0169" w:rsidRDefault="00AF0169" w:rsidP="00AF0169">
            <w:pPr>
              <w:jc w:val="center"/>
              <w:rPr>
                <w:rFonts w:ascii="Verdana" w:hAnsi="Verdana"/>
                <w:sz w:val="24"/>
                <w:szCs w:val="24"/>
              </w:rPr>
            </w:pPr>
            <w:r>
              <w:rPr>
                <w:rFonts w:ascii="Verdana" w:hAnsi="Verdana"/>
                <w:sz w:val="24"/>
                <w:szCs w:val="24"/>
              </w:rPr>
              <w:t>1 hora</w:t>
            </w:r>
          </w:p>
        </w:tc>
        <w:tc>
          <w:tcPr>
            <w:tcW w:w="296" w:type="pct"/>
            <w:vAlign w:val="center"/>
          </w:tcPr>
          <w:p w14:paraId="7F4CA30D" w14:textId="3178FE84" w:rsidR="00AF0169" w:rsidRDefault="00C86213" w:rsidP="00AF0169">
            <w:pPr>
              <w:jc w:val="center"/>
              <w:rPr>
                <w:rFonts w:ascii="Verdana" w:hAnsi="Verdana"/>
                <w:sz w:val="24"/>
                <w:szCs w:val="24"/>
              </w:rPr>
            </w:pPr>
            <w:r>
              <w:rPr>
                <w:rFonts w:ascii="Verdana" w:hAnsi="Verdana"/>
                <w:sz w:val="24"/>
                <w:szCs w:val="24"/>
              </w:rPr>
              <w:t>16</w:t>
            </w:r>
          </w:p>
        </w:tc>
        <w:tc>
          <w:tcPr>
            <w:tcW w:w="432" w:type="pct"/>
            <w:vAlign w:val="center"/>
          </w:tcPr>
          <w:p w14:paraId="3A182EF2" w14:textId="37ABF71D" w:rsidR="00AF0169" w:rsidRDefault="00C86213" w:rsidP="00AF0169">
            <w:pPr>
              <w:jc w:val="center"/>
              <w:rPr>
                <w:rFonts w:ascii="Verdana" w:hAnsi="Verdana"/>
                <w:sz w:val="24"/>
                <w:szCs w:val="24"/>
              </w:rPr>
            </w:pPr>
            <w:r>
              <w:rPr>
                <w:rFonts w:ascii="Verdana" w:hAnsi="Verdana"/>
                <w:sz w:val="24"/>
                <w:szCs w:val="24"/>
              </w:rPr>
              <w:t>2,7</w:t>
            </w:r>
          </w:p>
        </w:tc>
        <w:tc>
          <w:tcPr>
            <w:tcW w:w="373" w:type="pct"/>
            <w:vAlign w:val="center"/>
          </w:tcPr>
          <w:p w14:paraId="4CCDD241" w14:textId="702C644E" w:rsidR="00AF0169" w:rsidRDefault="00C86213" w:rsidP="00AF0169">
            <w:pPr>
              <w:jc w:val="center"/>
              <w:rPr>
                <w:rFonts w:ascii="Verdana" w:hAnsi="Verdana"/>
                <w:sz w:val="24"/>
                <w:szCs w:val="24"/>
              </w:rPr>
            </w:pPr>
            <w:r>
              <w:rPr>
                <w:rFonts w:ascii="Verdana" w:hAnsi="Verdana"/>
                <w:sz w:val="24"/>
                <w:szCs w:val="24"/>
              </w:rPr>
              <w:t>78</w:t>
            </w:r>
          </w:p>
        </w:tc>
        <w:tc>
          <w:tcPr>
            <w:tcW w:w="545" w:type="pct"/>
            <w:vAlign w:val="center"/>
          </w:tcPr>
          <w:p w14:paraId="0F07E760" w14:textId="4DFC811B" w:rsidR="00AF0169" w:rsidRDefault="00C86213" w:rsidP="00AF0169">
            <w:pPr>
              <w:jc w:val="center"/>
              <w:rPr>
                <w:rFonts w:ascii="Verdana" w:hAnsi="Verdana"/>
                <w:sz w:val="24"/>
                <w:szCs w:val="24"/>
              </w:rPr>
            </w:pPr>
            <w:r>
              <w:rPr>
                <w:rFonts w:ascii="Verdana" w:hAnsi="Verdana"/>
                <w:sz w:val="24"/>
                <w:szCs w:val="24"/>
              </w:rPr>
              <w:t>13,3</w:t>
            </w:r>
          </w:p>
        </w:tc>
        <w:tc>
          <w:tcPr>
            <w:tcW w:w="558" w:type="pct"/>
            <w:vAlign w:val="center"/>
          </w:tcPr>
          <w:p w14:paraId="43E22396" w14:textId="4F852BCE" w:rsidR="00AF0169" w:rsidRDefault="00C86213" w:rsidP="00AF0169">
            <w:pPr>
              <w:jc w:val="center"/>
              <w:rPr>
                <w:rFonts w:ascii="Verdana" w:hAnsi="Verdana"/>
                <w:sz w:val="24"/>
                <w:szCs w:val="24"/>
              </w:rPr>
            </w:pPr>
            <w:r>
              <w:rPr>
                <w:rFonts w:ascii="Verdana" w:hAnsi="Verdana"/>
                <w:sz w:val="24"/>
                <w:szCs w:val="24"/>
              </w:rPr>
              <w:t>492</w:t>
            </w:r>
          </w:p>
        </w:tc>
        <w:tc>
          <w:tcPr>
            <w:tcW w:w="632" w:type="pct"/>
            <w:vAlign w:val="center"/>
          </w:tcPr>
          <w:p w14:paraId="4BFD7393" w14:textId="2982C01F" w:rsidR="00AF0169" w:rsidRDefault="00C86213" w:rsidP="00AF0169">
            <w:pPr>
              <w:jc w:val="center"/>
              <w:rPr>
                <w:rFonts w:ascii="Verdana" w:hAnsi="Verdana"/>
                <w:sz w:val="24"/>
                <w:szCs w:val="24"/>
              </w:rPr>
            </w:pPr>
            <w:r>
              <w:rPr>
                <w:rFonts w:ascii="Verdana" w:hAnsi="Verdana"/>
                <w:sz w:val="24"/>
                <w:szCs w:val="24"/>
              </w:rPr>
              <w:t>84,0</w:t>
            </w:r>
          </w:p>
        </w:tc>
        <w:tc>
          <w:tcPr>
            <w:tcW w:w="296" w:type="pct"/>
            <w:vAlign w:val="center"/>
          </w:tcPr>
          <w:p w14:paraId="73C7B0AB" w14:textId="23DB9162" w:rsidR="00AF0169" w:rsidRDefault="00C86213" w:rsidP="00AF0169">
            <w:pPr>
              <w:jc w:val="center"/>
              <w:rPr>
                <w:rFonts w:ascii="Verdana" w:hAnsi="Verdana"/>
                <w:sz w:val="24"/>
                <w:szCs w:val="24"/>
              </w:rPr>
            </w:pPr>
            <w:r>
              <w:rPr>
                <w:rFonts w:ascii="Verdana" w:hAnsi="Verdana"/>
                <w:sz w:val="24"/>
                <w:szCs w:val="24"/>
              </w:rPr>
              <w:t>586</w:t>
            </w:r>
          </w:p>
        </w:tc>
        <w:tc>
          <w:tcPr>
            <w:tcW w:w="382" w:type="pct"/>
            <w:vAlign w:val="center"/>
          </w:tcPr>
          <w:p w14:paraId="1B461765" w14:textId="51FB1F15" w:rsidR="00AF0169" w:rsidRDefault="00C86213" w:rsidP="00AF0169">
            <w:pPr>
              <w:jc w:val="center"/>
              <w:rPr>
                <w:rFonts w:ascii="Verdana" w:hAnsi="Verdana"/>
                <w:sz w:val="24"/>
                <w:szCs w:val="24"/>
              </w:rPr>
            </w:pPr>
            <w:r>
              <w:rPr>
                <w:rFonts w:ascii="Verdana" w:hAnsi="Verdana"/>
                <w:sz w:val="24"/>
                <w:szCs w:val="24"/>
              </w:rPr>
              <w:t>100</w:t>
            </w:r>
          </w:p>
        </w:tc>
      </w:tr>
      <w:tr w:rsidR="00AF0169" w14:paraId="1FA0BF80" w14:textId="6AFC3A15" w:rsidTr="0010061B">
        <w:tc>
          <w:tcPr>
            <w:tcW w:w="1487" w:type="pct"/>
            <w:vAlign w:val="center"/>
          </w:tcPr>
          <w:p w14:paraId="659B80A0" w14:textId="5AA044BA" w:rsidR="00AF0169" w:rsidRDefault="00AF0169" w:rsidP="00AF0169">
            <w:pPr>
              <w:jc w:val="center"/>
              <w:rPr>
                <w:rFonts w:ascii="Verdana" w:hAnsi="Verdana"/>
                <w:sz w:val="24"/>
                <w:szCs w:val="24"/>
              </w:rPr>
            </w:pPr>
            <w:r>
              <w:rPr>
                <w:rFonts w:ascii="Verdana" w:hAnsi="Verdana"/>
                <w:sz w:val="24"/>
                <w:szCs w:val="24"/>
              </w:rPr>
              <w:t>2 horas</w:t>
            </w:r>
          </w:p>
        </w:tc>
        <w:tc>
          <w:tcPr>
            <w:tcW w:w="296" w:type="pct"/>
            <w:vAlign w:val="center"/>
          </w:tcPr>
          <w:p w14:paraId="19A262E1" w14:textId="3657F5F0" w:rsidR="00AF0169" w:rsidRDefault="00C86213" w:rsidP="00AF0169">
            <w:pPr>
              <w:jc w:val="center"/>
              <w:rPr>
                <w:rFonts w:ascii="Verdana" w:hAnsi="Verdana"/>
                <w:sz w:val="24"/>
                <w:szCs w:val="24"/>
              </w:rPr>
            </w:pPr>
            <w:r>
              <w:rPr>
                <w:rFonts w:ascii="Verdana" w:hAnsi="Verdana"/>
                <w:sz w:val="24"/>
                <w:szCs w:val="24"/>
              </w:rPr>
              <w:t>12</w:t>
            </w:r>
          </w:p>
        </w:tc>
        <w:tc>
          <w:tcPr>
            <w:tcW w:w="432" w:type="pct"/>
            <w:vAlign w:val="center"/>
          </w:tcPr>
          <w:p w14:paraId="05B802AC" w14:textId="6D9D961C" w:rsidR="00AF0169" w:rsidRDefault="00C86213" w:rsidP="00AF0169">
            <w:pPr>
              <w:jc w:val="center"/>
              <w:rPr>
                <w:rFonts w:ascii="Verdana" w:hAnsi="Verdana"/>
                <w:sz w:val="24"/>
                <w:szCs w:val="24"/>
              </w:rPr>
            </w:pPr>
            <w:r>
              <w:rPr>
                <w:rFonts w:ascii="Verdana" w:hAnsi="Verdana"/>
                <w:sz w:val="24"/>
                <w:szCs w:val="24"/>
              </w:rPr>
              <w:t>2,0</w:t>
            </w:r>
          </w:p>
        </w:tc>
        <w:tc>
          <w:tcPr>
            <w:tcW w:w="373" w:type="pct"/>
            <w:vAlign w:val="center"/>
          </w:tcPr>
          <w:p w14:paraId="7F4B250C" w14:textId="4E539AA9" w:rsidR="00AF0169" w:rsidRDefault="00C86213" w:rsidP="00AF0169">
            <w:pPr>
              <w:jc w:val="center"/>
              <w:rPr>
                <w:rFonts w:ascii="Verdana" w:hAnsi="Verdana"/>
                <w:sz w:val="24"/>
                <w:szCs w:val="24"/>
              </w:rPr>
            </w:pPr>
            <w:r>
              <w:rPr>
                <w:rFonts w:ascii="Verdana" w:hAnsi="Verdana"/>
                <w:sz w:val="24"/>
                <w:szCs w:val="24"/>
              </w:rPr>
              <w:t>68</w:t>
            </w:r>
          </w:p>
        </w:tc>
        <w:tc>
          <w:tcPr>
            <w:tcW w:w="545" w:type="pct"/>
            <w:vAlign w:val="center"/>
          </w:tcPr>
          <w:p w14:paraId="00D92FC7" w14:textId="7A7DECBF" w:rsidR="00AF0169" w:rsidRDefault="00C86213" w:rsidP="00AF0169">
            <w:pPr>
              <w:jc w:val="center"/>
              <w:rPr>
                <w:rFonts w:ascii="Verdana" w:hAnsi="Verdana"/>
                <w:sz w:val="24"/>
                <w:szCs w:val="24"/>
              </w:rPr>
            </w:pPr>
            <w:r>
              <w:rPr>
                <w:rFonts w:ascii="Verdana" w:hAnsi="Verdana"/>
                <w:sz w:val="24"/>
                <w:szCs w:val="24"/>
              </w:rPr>
              <w:t>11,6</w:t>
            </w:r>
          </w:p>
        </w:tc>
        <w:tc>
          <w:tcPr>
            <w:tcW w:w="558" w:type="pct"/>
            <w:vAlign w:val="center"/>
          </w:tcPr>
          <w:p w14:paraId="143E5CDF" w14:textId="1E1F5E85" w:rsidR="00AF0169" w:rsidRDefault="00C86213" w:rsidP="00AF0169">
            <w:pPr>
              <w:jc w:val="center"/>
              <w:rPr>
                <w:rFonts w:ascii="Verdana" w:hAnsi="Verdana"/>
                <w:sz w:val="24"/>
                <w:szCs w:val="24"/>
              </w:rPr>
            </w:pPr>
            <w:r>
              <w:rPr>
                <w:rFonts w:ascii="Verdana" w:hAnsi="Verdana"/>
                <w:sz w:val="24"/>
                <w:szCs w:val="24"/>
              </w:rPr>
              <w:t>506</w:t>
            </w:r>
          </w:p>
        </w:tc>
        <w:tc>
          <w:tcPr>
            <w:tcW w:w="632" w:type="pct"/>
            <w:vAlign w:val="center"/>
          </w:tcPr>
          <w:p w14:paraId="37171AD4" w14:textId="163CC79E" w:rsidR="00AF0169" w:rsidRDefault="00C86213" w:rsidP="00AF0169">
            <w:pPr>
              <w:jc w:val="center"/>
              <w:rPr>
                <w:rFonts w:ascii="Verdana" w:hAnsi="Verdana"/>
                <w:sz w:val="24"/>
                <w:szCs w:val="24"/>
              </w:rPr>
            </w:pPr>
            <w:r>
              <w:rPr>
                <w:rFonts w:ascii="Verdana" w:hAnsi="Verdana"/>
                <w:sz w:val="24"/>
                <w:szCs w:val="24"/>
              </w:rPr>
              <w:t>86,3</w:t>
            </w:r>
          </w:p>
        </w:tc>
        <w:tc>
          <w:tcPr>
            <w:tcW w:w="296" w:type="pct"/>
            <w:vAlign w:val="center"/>
          </w:tcPr>
          <w:p w14:paraId="59BA04F7" w14:textId="0150B5C5" w:rsidR="00AF0169" w:rsidRDefault="00C86213" w:rsidP="00AF0169">
            <w:pPr>
              <w:jc w:val="center"/>
              <w:rPr>
                <w:rFonts w:ascii="Verdana" w:hAnsi="Verdana"/>
                <w:sz w:val="24"/>
                <w:szCs w:val="24"/>
              </w:rPr>
            </w:pPr>
            <w:r>
              <w:rPr>
                <w:rFonts w:ascii="Verdana" w:hAnsi="Verdana"/>
                <w:sz w:val="24"/>
                <w:szCs w:val="24"/>
              </w:rPr>
              <w:t>586</w:t>
            </w:r>
          </w:p>
        </w:tc>
        <w:tc>
          <w:tcPr>
            <w:tcW w:w="382" w:type="pct"/>
            <w:vAlign w:val="center"/>
          </w:tcPr>
          <w:p w14:paraId="694D20E7" w14:textId="7771FAF4" w:rsidR="00AF0169" w:rsidRDefault="00C86213" w:rsidP="00AF0169">
            <w:pPr>
              <w:jc w:val="center"/>
              <w:rPr>
                <w:rFonts w:ascii="Verdana" w:hAnsi="Verdana"/>
                <w:sz w:val="24"/>
                <w:szCs w:val="24"/>
              </w:rPr>
            </w:pPr>
            <w:r>
              <w:rPr>
                <w:rFonts w:ascii="Verdana" w:hAnsi="Verdana"/>
                <w:sz w:val="24"/>
                <w:szCs w:val="24"/>
              </w:rPr>
              <w:t>100</w:t>
            </w:r>
          </w:p>
        </w:tc>
      </w:tr>
    </w:tbl>
    <w:p w14:paraId="1F7FC97F" w14:textId="77777777" w:rsidR="00E21193" w:rsidRDefault="00E21193" w:rsidP="00025FC1">
      <w:pPr>
        <w:spacing w:line="240" w:lineRule="auto"/>
        <w:jc w:val="both"/>
        <w:rPr>
          <w:rFonts w:ascii="Verdana" w:hAnsi="Verdana"/>
          <w:sz w:val="24"/>
          <w:szCs w:val="24"/>
        </w:rPr>
      </w:pPr>
    </w:p>
    <w:p w14:paraId="7F2149F7" w14:textId="1CF9CAB1" w:rsidR="007301A2" w:rsidRDefault="00CA3B26" w:rsidP="00025FC1">
      <w:pPr>
        <w:spacing w:line="240" w:lineRule="auto"/>
        <w:jc w:val="both"/>
        <w:rPr>
          <w:rFonts w:ascii="Verdana" w:hAnsi="Verdana"/>
          <w:sz w:val="24"/>
          <w:szCs w:val="24"/>
        </w:rPr>
      </w:pPr>
      <w:r>
        <w:rPr>
          <w:rFonts w:ascii="Verdana" w:hAnsi="Verdana"/>
          <w:sz w:val="24"/>
          <w:szCs w:val="24"/>
        </w:rPr>
        <w:t xml:space="preserve">Ambos índices subrogados de RI adquirieron valores diferentes en dependencia de la categoría diagnóstica del estado glucémico (tabla 3). De forma independiente de la prueba analizada y del índice, ya fuera </w:t>
      </w:r>
      <w:proofErr w:type="spellStart"/>
      <w:r>
        <w:rPr>
          <w:rFonts w:ascii="Verdana" w:hAnsi="Verdana"/>
          <w:sz w:val="24"/>
          <w:szCs w:val="24"/>
        </w:rPr>
        <w:t>TyG</w:t>
      </w:r>
      <w:proofErr w:type="spellEnd"/>
      <w:r>
        <w:rPr>
          <w:rFonts w:ascii="Verdana" w:hAnsi="Verdana"/>
          <w:sz w:val="24"/>
          <w:szCs w:val="24"/>
        </w:rPr>
        <w:t xml:space="preserve"> o </w:t>
      </w:r>
      <w:proofErr w:type="spellStart"/>
      <w:r>
        <w:rPr>
          <w:rFonts w:ascii="Verdana" w:hAnsi="Verdana"/>
          <w:sz w:val="24"/>
          <w:szCs w:val="24"/>
        </w:rPr>
        <w:t>TyG</w:t>
      </w:r>
      <w:proofErr w:type="spellEnd"/>
      <w:r>
        <w:rPr>
          <w:rFonts w:ascii="Verdana" w:hAnsi="Verdana"/>
          <w:sz w:val="24"/>
          <w:szCs w:val="24"/>
        </w:rPr>
        <w:t xml:space="preserve">-IMC, el grupo de pacientes con diabetes tuvo valores más </w:t>
      </w:r>
      <w:r>
        <w:rPr>
          <w:rFonts w:ascii="Verdana" w:hAnsi="Verdana"/>
          <w:sz w:val="24"/>
          <w:szCs w:val="24"/>
        </w:rPr>
        <w:lastRenderedPageBreak/>
        <w:t xml:space="preserve">altos que el grupo con prediabetes y éste valores más altos que el grupo con </w:t>
      </w:r>
      <w:proofErr w:type="spellStart"/>
      <w:r>
        <w:rPr>
          <w:rFonts w:ascii="Verdana" w:hAnsi="Verdana"/>
          <w:sz w:val="24"/>
          <w:szCs w:val="24"/>
        </w:rPr>
        <w:t>normoglucemia</w:t>
      </w:r>
      <w:proofErr w:type="spellEnd"/>
      <w:r>
        <w:rPr>
          <w:rFonts w:ascii="Verdana" w:hAnsi="Verdana"/>
          <w:sz w:val="24"/>
          <w:szCs w:val="24"/>
        </w:rPr>
        <w:t>. Estas diferencias entre grupos alcanz</w:t>
      </w:r>
      <w:r w:rsidR="00D03E45">
        <w:rPr>
          <w:rFonts w:ascii="Verdana" w:hAnsi="Verdana"/>
          <w:sz w:val="24"/>
          <w:szCs w:val="24"/>
        </w:rPr>
        <w:t>aron</w:t>
      </w:r>
      <w:r>
        <w:rPr>
          <w:rFonts w:ascii="Verdana" w:hAnsi="Verdana"/>
          <w:sz w:val="24"/>
          <w:szCs w:val="24"/>
        </w:rPr>
        <w:t xml:space="preserve"> significación estadística </w:t>
      </w:r>
      <w:r w:rsidR="006A1677">
        <w:rPr>
          <w:rFonts w:ascii="Verdana" w:hAnsi="Verdana"/>
          <w:sz w:val="24"/>
          <w:szCs w:val="24"/>
        </w:rPr>
        <w:t>en los cuatro casos (p &lt; 0,001).</w:t>
      </w:r>
    </w:p>
    <w:p w14:paraId="2E46CEC1" w14:textId="77777777" w:rsidR="00D03E45" w:rsidRDefault="00D03E45" w:rsidP="00025FC1">
      <w:pPr>
        <w:spacing w:line="240" w:lineRule="auto"/>
        <w:jc w:val="both"/>
        <w:rPr>
          <w:rFonts w:ascii="Verdana" w:hAnsi="Verdana"/>
          <w:sz w:val="24"/>
          <w:szCs w:val="24"/>
        </w:rPr>
      </w:pPr>
    </w:p>
    <w:p w14:paraId="4DC33AAE" w14:textId="0F2CA23D" w:rsidR="008B112F" w:rsidRPr="008B112F" w:rsidRDefault="008B112F" w:rsidP="008B112F">
      <w:pPr>
        <w:pStyle w:val="Epgrafe"/>
        <w:keepNext/>
        <w:rPr>
          <w:rFonts w:ascii="Verdana" w:hAnsi="Verdana"/>
          <w:i w:val="0"/>
          <w:iCs w:val="0"/>
          <w:color w:val="auto"/>
          <w:sz w:val="24"/>
          <w:szCs w:val="24"/>
        </w:rPr>
      </w:pPr>
      <w:r w:rsidRPr="008B112F">
        <w:rPr>
          <w:rFonts w:ascii="Verdana" w:hAnsi="Verdana"/>
          <w:i w:val="0"/>
          <w:iCs w:val="0"/>
          <w:color w:val="auto"/>
          <w:sz w:val="24"/>
          <w:szCs w:val="24"/>
        </w:rPr>
        <w:t xml:space="preserve">Tabla </w:t>
      </w:r>
      <w:r w:rsidRPr="008B112F">
        <w:rPr>
          <w:rFonts w:ascii="Verdana" w:hAnsi="Verdana"/>
          <w:i w:val="0"/>
          <w:iCs w:val="0"/>
          <w:color w:val="auto"/>
          <w:sz w:val="24"/>
          <w:szCs w:val="24"/>
        </w:rPr>
        <w:fldChar w:fldCharType="begin"/>
      </w:r>
      <w:r w:rsidRPr="008B112F">
        <w:rPr>
          <w:rFonts w:ascii="Verdana" w:hAnsi="Verdana"/>
          <w:i w:val="0"/>
          <w:iCs w:val="0"/>
          <w:color w:val="auto"/>
          <w:sz w:val="24"/>
          <w:szCs w:val="24"/>
        </w:rPr>
        <w:instrText xml:space="preserve"> SEQ Tabla \* ARABIC </w:instrText>
      </w:r>
      <w:r w:rsidRPr="008B112F">
        <w:rPr>
          <w:rFonts w:ascii="Verdana" w:hAnsi="Verdana"/>
          <w:i w:val="0"/>
          <w:iCs w:val="0"/>
          <w:color w:val="auto"/>
          <w:sz w:val="24"/>
          <w:szCs w:val="24"/>
        </w:rPr>
        <w:fldChar w:fldCharType="separate"/>
      </w:r>
      <w:r w:rsidR="00D35E10">
        <w:rPr>
          <w:rFonts w:ascii="Verdana" w:hAnsi="Verdana"/>
          <w:i w:val="0"/>
          <w:iCs w:val="0"/>
          <w:noProof/>
          <w:color w:val="auto"/>
          <w:sz w:val="24"/>
          <w:szCs w:val="24"/>
        </w:rPr>
        <w:t>3</w:t>
      </w:r>
      <w:r w:rsidRPr="008B112F">
        <w:rPr>
          <w:rFonts w:ascii="Verdana" w:hAnsi="Verdana"/>
          <w:i w:val="0"/>
          <w:iCs w:val="0"/>
          <w:color w:val="auto"/>
          <w:sz w:val="24"/>
          <w:szCs w:val="24"/>
        </w:rPr>
        <w:fldChar w:fldCharType="end"/>
      </w:r>
      <w:r w:rsidRPr="008B112F">
        <w:rPr>
          <w:rFonts w:ascii="Verdana" w:hAnsi="Verdana"/>
          <w:i w:val="0"/>
          <w:iCs w:val="0"/>
          <w:color w:val="auto"/>
          <w:sz w:val="24"/>
          <w:szCs w:val="24"/>
        </w:rPr>
        <w:t>. Comparación de los valores medios de los índices subrogados de resistencia insulínica en función del estado glucémico según la modalidad de prueba de tolerancia a la glucosa realizada</w:t>
      </w:r>
    </w:p>
    <w:tbl>
      <w:tblPr>
        <w:tblStyle w:val="Tablaconcuadrcula"/>
        <w:tblW w:w="0" w:type="auto"/>
        <w:tblLook w:val="04A0" w:firstRow="1" w:lastRow="0" w:firstColumn="1" w:lastColumn="0" w:noHBand="0" w:noVBand="1"/>
      </w:tblPr>
      <w:tblGrid>
        <w:gridCol w:w="1489"/>
        <w:gridCol w:w="996"/>
        <w:gridCol w:w="1022"/>
        <w:gridCol w:w="996"/>
        <w:gridCol w:w="1052"/>
        <w:gridCol w:w="996"/>
        <w:gridCol w:w="1183"/>
        <w:gridCol w:w="1094"/>
      </w:tblGrid>
      <w:tr w:rsidR="005B6C98" w:rsidRPr="00935EB4" w14:paraId="4155B277" w14:textId="77777777" w:rsidTr="008B112F">
        <w:tc>
          <w:tcPr>
            <w:tcW w:w="1489" w:type="dxa"/>
            <w:vMerge w:val="restart"/>
            <w:vAlign w:val="center"/>
          </w:tcPr>
          <w:p w14:paraId="15F7ECAF" w14:textId="52A40E5E" w:rsidR="005B6C98" w:rsidRPr="00935EB4" w:rsidRDefault="005B6C98" w:rsidP="00082B48">
            <w:pPr>
              <w:jc w:val="center"/>
              <w:rPr>
                <w:rFonts w:ascii="Verdana" w:hAnsi="Verdana"/>
              </w:rPr>
            </w:pPr>
            <w:r w:rsidRPr="00935EB4">
              <w:rPr>
                <w:rFonts w:ascii="Verdana" w:hAnsi="Verdana"/>
              </w:rPr>
              <w:t xml:space="preserve">Índices subrogados de IR </w:t>
            </w:r>
          </w:p>
        </w:tc>
        <w:tc>
          <w:tcPr>
            <w:tcW w:w="6245" w:type="dxa"/>
            <w:gridSpan w:val="6"/>
            <w:vAlign w:val="center"/>
          </w:tcPr>
          <w:p w14:paraId="633FBE07" w14:textId="77777777" w:rsidR="005B6C98" w:rsidRPr="00935EB4" w:rsidRDefault="005B6C98" w:rsidP="00082B48">
            <w:pPr>
              <w:jc w:val="center"/>
              <w:rPr>
                <w:rFonts w:ascii="Verdana" w:hAnsi="Verdana"/>
              </w:rPr>
            </w:pPr>
            <w:r w:rsidRPr="00935EB4">
              <w:rPr>
                <w:rFonts w:ascii="Verdana" w:hAnsi="Verdana"/>
              </w:rPr>
              <w:t>Estado glucémico</w:t>
            </w:r>
          </w:p>
        </w:tc>
        <w:tc>
          <w:tcPr>
            <w:tcW w:w="1094" w:type="dxa"/>
            <w:vMerge w:val="restart"/>
            <w:vAlign w:val="center"/>
          </w:tcPr>
          <w:p w14:paraId="1F6A0530" w14:textId="15B684D7" w:rsidR="005B6C98" w:rsidRPr="00935EB4" w:rsidRDefault="005B6C98" w:rsidP="00082B48">
            <w:pPr>
              <w:jc w:val="center"/>
              <w:rPr>
                <w:rFonts w:ascii="Verdana" w:hAnsi="Verdana"/>
              </w:rPr>
            </w:pPr>
            <w:r w:rsidRPr="00935EB4">
              <w:rPr>
                <w:rFonts w:ascii="Verdana" w:hAnsi="Verdana"/>
              </w:rPr>
              <w:t>ANOVA</w:t>
            </w:r>
          </w:p>
        </w:tc>
      </w:tr>
      <w:tr w:rsidR="005B6C98" w:rsidRPr="00935EB4" w14:paraId="0DD764FF" w14:textId="77777777" w:rsidTr="008B112F">
        <w:tc>
          <w:tcPr>
            <w:tcW w:w="1489" w:type="dxa"/>
            <w:vMerge/>
            <w:vAlign w:val="center"/>
          </w:tcPr>
          <w:p w14:paraId="0FAC69A2" w14:textId="77777777" w:rsidR="005B6C98" w:rsidRPr="00935EB4" w:rsidRDefault="005B6C98" w:rsidP="00082B48">
            <w:pPr>
              <w:jc w:val="center"/>
              <w:rPr>
                <w:rFonts w:ascii="Verdana" w:hAnsi="Verdana"/>
              </w:rPr>
            </w:pPr>
          </w:p>
        </w:tc>
        <w:tc>
          <w:tcPr>
            <w:tcW w:w="2018" w:type="dxa"/>
            <w:gridSpan w:val="2"/>
            <w:vAlign w:val="center"/>
          </w:tcPr>
          <w:p w14:paraId="645D1CA1" w14:textId="77777777" w:rsidR="005B6C98" w:rsidRPr="00935EB4" w:rsidRDefault="005B6C98" w:rsidP="00082B48">
            <w:pPr>
              <w:jc w:val="center"/>
              <w:rPr>
                <w:rFonts w:ascii="Verdana" w:hAnsi="Verdana"/>
              </w:rPr>
            </w:pPr>
            <w:r w:rsidRPr="00935EB4">
              <w:rPr>
                <w:rFonts w:ascii="Verdana" w:hAnsi="Verdana"/>
              </w:rPr>
              <w:t>Diabetes</w:t>
            </w:r>
          </w:p>
        </w:tc>
        <w:tc>
          <w:tcPr>
            <w:tcW w:w="2048" w:type="dxa"/>
            <w:gridSpan w:val="2"/>
            <w:vAlign w:val="center"/>
          </w:tcPr>
          <w:p w14:paraId="63202FD7" w14:textId="77777777" w:rsidR="005B6C98" w:rsidRPr="00935EB4" w:rsidRDefault="005B6C98" w:rsidP="00082B48">
            <w:pPr>
              <w:jc w:val="center"/>
              <w:rPr>
                <w:rFonts w:ascii="Verdana" w:hAnsi="Verdana"/>
              </w:rPr>
            </w:pPr>
            <w:r w:rsidRPr="00935EB4">
              <w:rPr>
                <w:rFonts w:ascii="Verdana" w:hAnsi="Verdana"/>
              </w:rPr>
              <w:t>Prediabetes</w:t>
            </w:r>
          </w:p>
        </w:tc>
        <w:tc>
          <w:tcPr>
            <w:tcW w:w="2179" w:type="dxa"/>
            <w:gridSpan w:val="2"/>
            <w:vAlign w:val="center"/>
          </w:tcPr>
          <w:p w14:paraId="64D845C3" w14:textId="6D735E4B" w:rsidR="005B6C98" w:rsidRPr="00935EB4" w:rsidRDefault="005B6C98" w:rsidP="00082B48">
            <w:pPr>
              <w:jc w:val="center"/>
              <w:rPr>
                <w:rFonts w:ascii="Verdana" w:hAnsi="Verdana"/>
              </w:rPr>
            </w:pPr>
            <w:proofErr w:type="spellStart"/>
            <w:r w:rsidRPr="00935EB4">
              <w:rPr>
                <w:rFonts w:ascii="Verdana" w:hAnsi="Verdana"/>
              </w:rPr>
              <w:t>Normoglucemia</w:t>
            </w:r>
            <w:proofErr w:type="spellEnd"/>
          </w:p>
        </w:tc>
        <w:tc>
          <w:tcPr>
            <w:tcW w:w="1094" w:type="dxa"/>
            <w:vMerge/>
            <w:vAlign w:val="center"/>
          </w:tcPr>
          <w:p w14:paraId="57F930F1" w14:textId="77777777" w:rsidR="005B6C98" w:rsidRPr="00935EB4" w:rsidRDefault="005B6C98" w:rsidP="00082B48">
            <w:pPr>
              <w:jc w:val="center"/>
              <w:rPr>
                <w:rFonts w:ascii="Verdana" w:hAnsi="Verdana"/>
              </w:rPr>
            </w:pPr>
          </w:p>
        </w:tc>
      </w:tr>
      <w:tr w:rsidR="005B6C98" w:rsidRPr="00935EB4" w14:paraId="7D61CEDB" w14:textId="77777777" w:rsidTr="008B112F">
        <w:tc>
          <w:tcPr>
            <w:tcW w:w="1489" w:type="dxa"/>
            <w:vMerge/>
            <w:vAlign w:val="center"/>
          </w:tcPr>
          <w:p w14:paraId="1B4A3D24" w14:textId="77777777" w:rsidR="005B6C98" w:rsidRPr="00935EB4" w:rsidRDefault="005B6C98" w:rsidP="00283792">
            <w:pPr>
              <w:jc w:val="center"/>
              <w:rPr>
                <w:rFonts w:ascii="Verdana" w:hAnsi="Verdana"/>
              </w:rPr>
            </w:pPr>
          </w:p>
        </w:tc>
        <w:tc>
          <w:tcPr>
            <w:tcW w:w="996" w:type="dxa"/>
            <w:vAlign w:val="center"/>
          </w:tcPr>
          <w:p w14:paraId="0A1851E4" w14:textId="64364028" w:rsidR="005B6C98" w:rsidRPr="00935EB4" w:rsidRDefault="005B6C98" w:rsidP="00283792">
            <w:pPr>
              <w:jc w:val="center"/>
              <w:rPr>
                <w:rFonts w:ascii="Verdana" w:hAnsi="Verdana"/>
              </w:rPr>
            </w:pPr>
            <w:r w:rsidRPr="00935EB4">
              <w:rPr>
                <w:rFonts w:ascii="MS Reference Sans Serif" w:hAnsi="MS Reference Sans Serif"/>
              </w:rPr>
              <w:t></w:t>
            </w:r>
          </w:p>
        </w:tc>
        <w:tc>
          <w:tcPr>
            <w:tcW w:w="1022" w:type="dxa"/>
            <w:vAlign w:val="center"/>
          </w:tcPr>
          <w:p w14:paraId="620A5A10" w14:textId="6EF072F2" w:rsidR="005B6C98" w:rsidRPr="00935EB4" w:rsidRDefault="005B6C98" w:rsidP="00283792">
            <w:pPr>
              <w:jc w:val="center"/>
              <w:rPr>
                <w:rFonts w:ascii="Verdana" w:hAnsi="Verdana"/>
                <w:b/>
                <w:bCs/>
              </w:rPr>
            </w:pPr>
            <w:r w:rsidRPr="00935EB4">
              <w:rPr>
                <w:rFonts w:ascii="Verdana" w:hAnsi="Verdana"/>
              </w:rPr>
              <w:t>DE</w:t>
            </w:r>
          </w:p>
        </w:tc>
        <w:tc>
          <w:tcPr>
            <w:tcW w:w="996" w:type="dxa"/>
            <w:vAlign w:val="center"/>
          </w:tcPr>
          <w:p w14:paraId="422E0788" w14:textId="3D53D2B6" w:rsidR="005B6C98" w:rsidRPr="00935EB4" w:rsidRDefault="005B6C98" w:rsidP="00283792">
            <w:pPr>
              <w:jc w:val="center"/>
              <w:rPr>
                <w:rFonts w:ascii="Verdana" w:hAnsi="Verdana"/>
              </w:rPr>
            </w:pPr>
            <w:r w:rsidRPr="00935EB4">
              <w:rPr>
                <w:rFonts w:ascii="MS Reference Sans Serif" w:hAnsi="MS Reference Sans Serif"/>
              </w:rPr>
              <w:t></w:t>
            </w:r>
          </w:p>
        </w:tc>
        <w:tc>
          <w:tcPr>
            <w:tcW w:w="1052" w:type="dxa"/>
            <w:vAlign w:val="center"/>
          </w:tcPr>
          <w:p w14:paraId="7AE3BF93" w14:textId="4FF99F50" w:rsidR="005B6C98" w:rsidRPr="00935EB4" w:rsidRDefault="005B6C98" w:rsidP="00283792">
            <w:pPr>
              <w:jc w:val="center"/>
              <w:rPr>
                <w:rFonts w:ascii="Verdana" w:hAnsi="Verdana"/>
              </w:rPr>
            </w:pPr>
            <w:r w:rsidRPr="00935EB4">
              <w:rPr>
                <w:rFonts w:ascii="Verdana" w:hAnsi="Verdana"/>
              </w:rPr>
              <w:t>DE</w:t>
            </w:r>
          </w:p>
        </w:tc>
        <w:tc>
          <w:tcPr>
            <w:tcW w:w="996" w:type="dxa"/>
            <w:vAlign w:val="center"/>
          </w:tcPr>
          <w:p w14:paraId="0E395C12" w14:textId="53C772F2" w:rsidR="005B6C98" w:rsidRPr="00935EB4" w:rsidRDefault="005B6C98" w:rsidP="00283792">
            <w:pPr>
              <w:jc w:val="center"/>
              <w:rPr>
                <w:rFonts w:ascii="Verdana" w:hAnsi="Verdana"/>
              </w:rPr>
            </w:pPr>
            <w:r w:rsidRPr="00935EB4">
              <w:rPr>
                <w:rFonts w:ascii="MS Reference Sans Serif" w:hAnsi="MS Reference Sans Serif"/>
              </w:rPr>
              <w:t></w:t>
            </w:r>
          </w:p>
        </w:tc>
        <w:tc>
          <w:tcPr>
            <w:tcW w:w="1183" w:type="dxa"/>
            <w:vAlign w:val="center"/>
          </w:tcPr>
          <w:p w14:paraId="498DE725" w14:textId="54E83BF9" w:rsidR="005B6C98" w:rsidRPr="00935EB4" w:rsidRDefault="005B6C98" w:rsidP="00283792">
            <w:pPr>
              <w:jc w:val="center"/>
              <w:rPr>
                <w:rFonts w:ascii="Verdana" w:hAnsi="Verdana"/>
              </w:rPr>
            </w:pPr>
            <w:r w:rsidRPr="00935EB4">
              <w:rPr>
                <w:rFonts w:ascii="Verdana" w:hAnsi="Verdana"/>
              </w:rPr>
              <w:t>DE</w:t>
            </w:r>
          </w:p>
        </w:tc>
        <w:tc>
          <w:tcPr>
            <w:tcW w:w="1094" w:type="dxa"/>
            <w:vMerge/>
            <w:vAlign w:val="center"/>
          </w:tcPr>
          <w:p w14:paraId="08C80B2F" w14:textId="3B0B0C60" w:rsidR="005B6C98" w:rsidRPr="00935EB4" w:rsidRDefault="005B6C98" w:rsidP="005B6C98">
            <w:pPr>
              <w:rPr>
                <w:rFonts w:ascii="Verdana" w:hAnsi="Verdana"/>
              </w:rPr>
            </w:pPr>
          </w:p>
        </w:tc>
      </w:tr>
      <w:tr w:rsidR="00935EB4" w:rsidRPr="00935EB4" w14:paraId="62E47010" w14:textId="77777777" w:rsidTr="00935EB4">
        <w:tc>
          <w:tcPr>
            <w:tcW w:w="0" w:type="auto"/>
            <w:gridSpan w:val="8"/>
            <w:vAlign w:val="center"/>
          </w:tcPr>
          <w:p w14:paraId="10608BEB" w14:textId="29824ADA" w:rsidR="00935EB4" w:rsidRPr="00935EB4" w:rsidRDefault="00935EB4" w:rsidP="00935EB4">
            <w:pPr>
              <w:rPr>
                <w:rFonts w:ascii="Verdana" w:hAnsi="Verdana"/>
              </w:rPr>
            </w:pPr>
            <w:r w:rsidRPr="00935EB4">
              <w:rPr>
                <w:rFonts w:ascii="Verdana" w:hAnsi="Verdana"/>
              </w:rPr>
              <w:t>PTG-1h</w:t>
            </w:r>
          </w:p>
        </w:tc>
      </w:tr>
      <w:tr w:rsidR="005B6C98" w:rsidRPr="00935EB4" w14:paraId="277759CB" w14:textId="77777777" w:rsidTr="008B112F">
        <w:tc>
          <w:tcPr>
            <w:tcW w:w="1489" w:type="dxa"/>
            <w:vAlign w:val="center"/>
          </w:tcPr>
          <w:p w14:paraId="2C499E06" w14:textId="4973DB18" w:rsidR="005B6C98" w:rsidRPr="00935EB4" w:rsidRDefault="005B6C98" w:rsidP="00935EB4">
            <w:pPr>
              <w:jc w:val="right"/>
              <w:rPr>
                <w:rFonts w:ascii="Verdana" w:hAnsi="Verdana"/>
              </w:rPr>
            </w:pPr>
            <w:proofErr w:type="spellStart"/>
            <w:r w:rsidRPr="00935EB4">
              <w:rPr>
                <w:rFonts w:ascii="Verdana" w:hAnsi="Verdana"/>
              </w:rPr>
              <w:t>TyG</w:t>
            </w:r>
            <w:proofErr w:type="spellEnd"/>
          </w:p>
        </w:tc>
        <w:tc>
          <w:tcPr>
            <w:tcW w:w="996" w:type="dxa"/>
            <w:vAlign w:val="center"/>
          </w:tcPr>
          <w:p w14:paraId="1F400667" w14:textId="25DAB48D" w:rsidR="005B6C98" w:rsidRPr="00935EB4" w:rsidRDefault="001B12F4" w:rsidP="00082B48">
            <w:pPr>
              <w:jc w:val="center"/>
              <w:rPr>
                <w:rFonts w:ascii="Verdana" w:hAnsi="Verdana"/>
              </w:rPr>
            </w:pPr>
            <w:r>
              <w:rPr>
                <w:rFonts w:ascii="Verdana" w:hAnsi="Verdana"/>
              </w:rPr>
              <w:t>9,23</w:t>
            </w:r>
          </w:p>
        </w:tc>
        <w:tc>
          <w:tcPr>
            <w:tcW w:w="1022" w:type="dxa"/>
            <w:vAlign w:val="center"/>
          </w:tcPr>
          <w:p w14:paraId="76425610" w14:textId="2C7C327E" w:rsidR="005B6C98" w:rsidRPr="00935EB4" w:rsidRDefault="001B12F4" w:rsidP="00082B48">
            <w:pPr>
              <w:jc w:val="center"/>
              <w:rPr>
                <w:rFonts w:ascii="Verdana" w:hAnsi="Verdana"/>
              </w:rPr>
            </w:pPr>
            <w:r>
              <w:rPr>
                <w:rFonts w:ascii="Verdana" w:hAnsi="Verdana"/>
              </w:rPr>
              <w:t>0,51</w:t>
            </w:r>
          </w:p>
        </w:tc>
        <w:tc>
          <w:tcPr>
            <w:tcW w:w="996" w:type="dxa"/>
            <w:vAlign w:val="center"/>
          </w:tcPr>
          <w:p w14:paraId="69EC89F0" w14:textId="523A2AEE" w:rsidR="005B6C98" w:rsidRPr="00935EB4" w:rsidRDefault="001B12F4" w:rsidP="00082B48">
            <w:pPr>
              <w:jc w:val="center"/>
              <w:rPr>
                <w:rFonts w:ascii="Verdana" w:hAnsi="Verdana"/>
              </w:rPr>
            </w:pPr>
            <w:r>
              <w:rPr>
                <w:rFonts w:ascii="Verdana" w:hAnsi="Verdana"/>
              </w:rPr>
              <w:t>8,74</w:t>
            </w:r>
          </w:p>
        </w:tc>
        <w:tc>
          <w:tcPr>
            <w:tcW w:w="1052" w:type="dxa"/>
            <w:vAlign w:val="center"/>
          </w:tcPr>
          <w:p w14:paraId="3274AC35" w14:textId="1279795B" w:rsidR="005B6C98" w:rsidRPr="00935EB4" w:rsidRDefault="001B12F4" w:rsidP="00082B48">
            <w:pPr>
              <w:jc w:val="center"/>
              <w:rPr>
                <w:rFonts w:ascii="Verdana" w:hAnsi="Verdana"/>
              </w:rPr>
            </w:pPr>
            <w:r>
              <w:rPr>
                <w:rFonts w:ascii="Verdana" w:hAnsi="Verdana"/>
              </w:rPr>
              <w:t>0,53</w:t>
            </w:r>
          </w:p>
        </w:tc>
        <w:tc>
          <w:tcPr>
            <w:tcW w:w="996" w:type="dxa"/>
            <w:vAlign w:val="center"/>
          </w:tcPr>
          <w:p w14:paraId="40FF35EF" w14:textId="307C6B7D" w:rsidR="005B6C98" w:rsidRPr="00935EB4" w:rsidRDefault="001B12F4" w:rsidP="00082B48">
            <w:pPr>
              <w:jc w:val="center"/>
              <w:rPr>
                <w:rFonts w:ascii="Verdana" w:hAnsi="Verdana"/>
              </w:rPr>
            </w:pPr>
            <w:r>
              <w:rPr>
                <w:rFonts w:ascii="Verdana" w:hAnsi="Verdana"/>
              </w:rPr>
              <w:t>8,26</w:t>
            </w:r>
          </w:p>
        </w:tc>
        <w:tc>
          <w:tcPr>
            <w:tcW w:w="1183" w:type="dxa"/>
            <w:vAlign w:val="center"/>
          </w:tcPr>
          <w:p w14:paraId="19C4F302" w14:textId="4A369C64" w:rsidR="005B6C98" w:rsidRPr="00935EB4" w:rsidRDefault="001B12F4" w:rsidP="00082B48">
            <w:pPr>
              <w:jc w:val="center"/>
              <w:rPr>
                <w:rFonts w:ascii="Verdana" w:hAnsi="Verdana"/>
              </w:rPr>
            </w:pPr>
            <w:r>
              <w:rPr>
                <w:rFonts w:ascii="Verdana" w:hAnsi="Verdana"/>
              </w:rPr>
              <w:t>0,52</w:t>
            </w:r>
          </w:p>
        </w:tc>
        <w:tc>
          <w:tcPr>
            <w:tcW w:w="1094" w:type="dxa"/>
            <w:vAlign w:val="center"/>
          </w:tcPr>
          <w:p w14:paraId="5038A0A2" w14:textId="643B4FF6" w:rsidR="005B6C98" w:rsidRPr="00935EB4" w:rsidRDefault="001B12F4" w:rsidP="00082B48">
            <w:pPr>
              <w:jc w:val="center"/>
              <w:rPr>
                <w:rFonts w:ascii="Verdana" w:hAnsi="Verdana"/>
              </w:rPr>
            </w:pPr>
            <w:r>
              <w:rPr>
                <w:rFonts w:ascii="Verdana" w:hAnsi="Verdana"/>
              </w:rPr>
              <w:t>&lt;0,001</w:t>
            </w:r>
          </w:p>
        </w:tc>
      </w:tr>
      <w:tr w:rsidR="005B6C98" w:rsidRPr="00935EB4" w14:paraId="083B0C43" w14:textId="77777777" w:rsidTr="008B112F">
        <w:tc>
          <w:tcPr>
            <w:tcW w:w="1489" w:type="dxa"/>
            <w:vAlign w:val="center"/>
          </w:tcPr>
          <w:p w14:paraId="5D02ECD9" w14:textId="5421D28E" w:rsidR="005B6C98" w:rsidRPr="00935EB4" w:rsidRDefault="005B6C98" w:rsidP="00935EB4">
            <w:pPr>
              <w:jc w:val="right"/>
              <w:rPr>
                <w:rFonts w:ascii="Verdana" w:hAnsi="Verdana"/>
              </w:rPr>
            </w:pPr>
            <w:proofErr w:type="spellStart"/>
            <w:r w:rsidRPr="00935EB4">
              <w:rPr>
                <w:rFonts w:ascii="Verdana" w:hAnsi="Verdana"/>
              </w:rPr>
              <w:t>TyG</w:t>
            </w:r>
            <w:proofErr w:type="spellEnd"/>
            <w:r w:rsidRPr="00935EB4">
              <w:rPr>
                <w:rFonts w:ascii="Verdana" w:hAnsi="Verdana"/>
              </w:rPr>
              <w:t>-IMC</w:t>
            </w:r>
          </w:p>
        </w:tc>
        <w:tc>
          <w:tcPr>
            <w:tcW w:w="996" w:type="dxa"/>
            <w:vAlign w:val="center"/>
          </w:tcPr>
          <w:p w14:paraId="544529F5" w14:textId="369D858B" w:rsidR="005B6C98" w:rsidRPr="00935EB4" w:rsidRDefault="001B12F4" w:rsidP="00935EB4">
            <w:pPr>
              <w:jc w:val="center"/>
              <w:rPr>
                <w:rFonts w:ascii="Verdana" w:hAnsi="Verdana"/>
              </w:rPr>
            </w:pPr>
            <w:r>
              <w:rPr>
                <w:rFonts w:ascii="Verdana" w:hAnsi="Verdana"/>
              </w:rPr>
              <w:t>292,61</w:t>
            </w:r>
          </w:p>
        </w:tc>
        <w:tc>
          <w:tcPr>
            <w:tcW w:w="1022" w:type="dxa"/>
            <w:vAlign w:val="center"/>
          </w:tcPr>
          <w:p w14:paraId="7C676FC5" w14:textId="2A4BDF4A" w:rsidR="005B6C98" w:rsidRPr="00935EB4" w:rsidRDefault="001B12F4" w:rsidP="00935EB4">
            <w:pPr>
              <w:jc w:val="center"/>
              <w:rPr>
                <w:rFonts w:ascii="Verdana" w:hAnsi="Verdana"/>
              </w:rPr>
            </w:pPr>
            <w:r>
              <w:rPr>
                <w:rFonts w:ascii="Verdana" w:hAnsi="Verdana"/>
              </w:rPr>
              <w:t>44,44</w:t>
            </w:r>
          </w:p>
        </w:tc>
        <w:tc>
          <w:tcPr>
            <w:tcW w:w="996" w:type="dxa"/>
            <w:vAlign w:val="center"/>
          </w:tcPr>
          <w:p w14:paraId="2737DB9E" w14:textId="17D39716" w:rsidR="005B6C98" w:rsidRPr="00935EB4" w:rsidRDefault="001B12F4" w:rsidP="00935EB4">
            <w:pPr>
              <w:jc w:val="center"/>
              <w:rPr>
                <w:rFonts w:ascii="Verdana" w:hAnsi="Verdana"/>
              </w:rPr>
            </w:pPr>
            <w:r>
              <w:rPr>
                <w:rFonts w:ascii="Verdana" w:hAnsi="Verdana"/>
              </w:rPr>
              <w:t>250,80</w:t>
            </w:r>
          </w:p>
        </w:tc>
        <w:tc>
          <w:tcPr>
            <w:tcW w:w="1052" w:type="dxa"/>
            <w:vAlign w:val="center"/>
          </w:tcPr>
          <w:p w14:paraId="24F10A67" w14:textId="5E2EA6C7" w:rsidR="005B6C98" w:rsidRPr="00935EB4" w:rsidRDefault="001B12F4" w:rsidP="00935EB4">
            <w:pPr>
              <w:jc w:val="center"/>
              <w:rPr>
                <w:rFonts w:ascii="Verdana" w:hAnsi="Verdana"/>
              </w:rPr>
            </w:pPr>
            <w:r>
              <w:rPr>
                <w:rFonts w:ascii="Verdana" w:hAnsi="Verdana"/>
              </w:rPr>
              <w:t>52,84</w:t>
            </w:r>
          </w:p>
        </w:tc>
        <w:tc>
          <w:tcPr>
            <w:tcW w:w="996" w:type="dxa"/>
            <w:vAlign w:val="center"/>
          </w:tcPr>
          <w:p w14:paraId="4E28C844" w14:textId="1F3AEA32" w:rsidR="005B6C98" w:rsidRPr="00935EB4" w:rsidRDefault="001B12F4" w:rsidP="00935EB4">
            <w:pPr>
              <w:jc w:val="center"/>
              <w:rPr>
                <w:rFonts w:ascii="Verdana" w:hAnsi="Verdana"/>
              </w:rPr>
            </w:pPr>
            <w:r>
              <w:rPr>
                <w:rFonts w:ascii="Verdana" w:hAnsi="Verdana"/>
              </w:rPr>
              <w:t>218,09</w:t>
            </w:r>
          </w:p>
        </w:tc>
        <w:tc>
          <w:tcPr>
            <w:tcW w:w="1183" w:type="dxa"/>
            <w:vAlign w:val="center"/>
          </w:tcPr>
          <w:p w14:paraId="0D97B10C" w14:textId="2897139B" w:rsidR="005B6C98" w:rsidRPr="00935EB4" w:rsidRDefault="001B12F4" w:rsidP="00935EB4">
            <w:pPr>
              <w:jc w:val="center"/>
              <w:rPr>
                <w:rFonts w:ascii="Verdana" w:hAnsi="Verdana"/>
              </w:rPr>
            </w:pPr>
            <w:r>
              <w:rPr>
                <w:rFonts w:ascii="Verdana" w:hAnsi="Verdana"/>
              </w:rPr>
              <w:t>47,34</w:t>
            </w:r>
          </w:p>
        </w:tc>
        <w:tc>
          <w:tcPr>
            <w:tcW w:w="1094" w:type="dxa"/>
            <w:vAlign w:val="center"/>
          </w:tcPr>
          <w:p w14:paraId="4FF51532" w14:textId="46D7EA10" w:rsidR="005B6C98" w:rsidRPr="00935EB4" w:rsidRDefault="001B12F4" w:rsidP="00935EB4">
            <w:pPr>
              <w:jc w:val="center"/>
              <w:rPr>
                <w:rFonts w:ascii="Verdana" w:hAnsi="Verdana"/>
              </w:rPr>
            </w:pPr>
            <w:r>
              <w:rPr>
                <w:rFonts w:ascii="Verdana" w:hAnsi="Verdana"/>
              </w:rPr>
              <w:t>&lt;0,001</w:t>
            </w:r>
          </w:p>
        </w:tc>
      </w:tr>
      <w:tr w:rsidR="00935EB4" w:rsidRPr="00935EB4" w14:paraId="7B3E4F7D" w14:textId="77777777" w:rsidTr="00935EB4">
        <w:tc>
          <w:tcPr>
            <w:tcW w:w="0" w:type="auto"/>
            <w:gridSpan w:val="8"/>
            <w:vAlign w:val="center"/>
          </w:tcPr>
          <w:p w14:paraId="63BD965D" w14:textId="616300B1" w:rsidR="00935EB4" w:rsidRPr="00935EB4" w:rsidRDefault="00935EB4" w:rsidP="00935EB4">
            <w:pPr>
              <w:rPr>
                <w:rFonts w:ascii="Verdana" w:hAnsi="Verdana"/>
              </w:rPr>
            </w:pPr>
            <w:r w:rsidRPr="00935EB4">
              <w:rPr>
                <w:rFonts w:ascii="Verdana" w:hAnsi="Verdana"/>
              </w:rPr>
              <w:t>PTG-2h</w:t>
            </w:r>
          </w:p>
        </w:tc>
      </w:tr>
      <w:tr w:rsidR="005B6C98" w:rsidRPr="00935EB4" w14:paraId="31A6CF51" w14:textId="77777777" w:rsidTr="008B112F">
        <w:tc>
          <w:tcPr>
            <w:tcW w:w="1489" w:type="dxa"/>
            <w:vAlign w:val="center"/>
          </w:tcPr>
          <w:p w14:paraId="1F4B4ACD" w14:textId="5E01DC86" w:rsidR="005B6C98" w:rsidRPr="00935EB4" w:rsidRDefault="005B6C98" w:rsidP="00935EB4">
            <w:pPr>
              <w:jc w:val="right"/>
              <w:rPr>
                <w:rFonts w:ascii="Verdana" w:hAnsi="Verdana"/>
              </w:rPr>
            </w:pPr>
            <w:proofErr w:type="spellStart"/>
            <w:r w:rsidRPr="00935EB4">
              <w:rPr>
                <w:rFonts w:ascii="Verdana" w:hAnsi="Verdana"/>
              </w:rPr>
              <w:t>TyG</w:t>
            </w:r>
            <w:proofErr w:type="spellEnd"/>
          </w:p>
        </w:tc>
        <w:tc>
          <w:tcPr>
            <w:tcW w:w="996" w:type="dxa"/>
            <w:vAlign w:val="center"/>
          </w:tcPr>
          <w:p w14:paraId="26816E2B" w14:textId="412003A0" w:rsidR="005B6C98" w:rsidRPr="00935EB4" w:rsidRDefault="00C86213" w:rsidP="00935EB4">
            <w:pPr>
              <w:jc w:val="center"/>
              <w:rPr>
                <w:rFonts w:ascii="Verdana" w:hAnsi="Verdana"/>
              </w:rPr>
            </w:pPr>
            <w:r>
              <w:rPr>
                <w:rFonts w:ascii="Verdana" w:hAnsi="Verdana"/>
              </w:rPr>
              <w:t>9,36</w:t>
            </w:r>
          </w:p>
        </w:tc>
        <w:tc>
          <w:tcPr>
            <w:tcW w:w="1022" w:type="dxa"/>
            <w:vAlign w:val="center"/>
          </w:tcPr>
          <w:p w14:paraId="4E6C3D57" w14:textId="32B7AFDE" w:rsidR="005B6C98" w:rsidRPr="00935EB4" w:rsidRDefault="00C86213" w:rsidP="00935EB4">
            <w:pPr>
              <w:jc w:val="center"/>
              <w:rPr>
                <w:rFonts w:ascii="Verdana" w:hAnsi="Verdana"/>
              </w:rPr>
            </w:pPr>
            <w:r>
              <w:rPr>
                <w:rFonts w:ascii="Verdana" w:hAnsi="Verdana"/>
              </w:rPr>
              <w:t>0,50</w:t>
            </w:r>
          </w:p>
        </w:tc>
        <w:tc>
          <w:tcPr>
            <w:tcW w:w="996" w:type="dxa"/>
            <w:vAlign w:val="center"/>
          </w:tcPr>
          <w:p w14:paraId="297A04A7" w14:textId="55384855" w:rsidR="005B6C98" w:rsidRPr="00935EB4" w:rsidRDefault="00C86213" w:rsidP="00935EB4">
            <w:pPr>
              <w:jc w:val="center"/>
              <w:rPr>
                <w:rFonts w:ascii="Verdana" w:hAnsi="Verdana"/>
              </w:rPr>
            </w:pPr>
            <w:r>
              <w:rPr>
                <w:rFonts w:ascii="Verdana" w:hAnsi="Verdana"/>
              </w:rPr>
              <w:t>8,70</w:t>
            </w:r>
          </w:p>
        </w:tc>
        <w:tc>
          <w:tcPr>
            <w:tcW w:w="1052" w:type="dxa"/>
            <w:vAlign w:val="center"/>
          </w:tcPr>
          <w:p w14:paraId="49115089" w14:textId="725D704E" w:rsidR="005B6C98" w:rsidRPr="00935EB4" w:rsidRDefault="001B12F4" w:rsidP="00935EB4">
            <w:pPr>
              <w:jc w:val="center"/>
              <w:rPr>
                <w:rFonts w:ascii="Verdana" w:hAnsi="Verdana"/>
              </w:rPr>
            </w:pPr>
            <w:r>
              <w:rPr>
                <w:rFonts w:ascii="Verdana" w:hAnsi="Verdana"/>
              </w:rPr>
              <w:t>0,47</w:t>
            </w:r>
          </w:p>
        </w:tc>
        <w:tc>
          <w:tcPr>
            <w:tcW w:w="996" w:type="dxa"/>
            <w:vAlign w:val="center"/>
          </w:tcPr>
          <w:p w14:paraId="384B77C1" w14:textId="400E8C2C" w:rsidR="005B6C98" w:rsidRPr="00935EB4" w:rsidRDefault="001B12F4" w:rsidP="00935EB4">
            <w:pPr>
              <w:jc w:val="center"/>
              <w:rPr>
                <w:rFonts w:ascii="Verdana" w:hAnsi="Verdana"/>
              </w:rPr>
            </w:pPr>
            <w:r>
              <w:rPr>
                <w:rFonts w:ascii="Verdana" w:hAnsi="Verdana"/>
              </w:rPr>
              <w:t>8,28</w:t>
            </w:r>
          </w:p>
        </w:tc>
        <w:tc>
          <w:tcPr>
            <w:tcW w:w="1183" w:type="dxa"/>
            <w:vAlign w:val="center"/>
          </w:tcPr>
          <w:p w14:paraId="423DF4BD" w14:textId="37AAE670" w:rsidR="005B6C98" w:rsidRPr="00935EB4" w:rsidRDefault="001B12F4" w:rsidP="00935EB4">
            <w:pPr>
              <w:jc w:val="center"/>
              <w:rPr>
                <w:rFonts w:ascii="Verdana" w:hAnsi="Verdana"/>
              </w:rPr>
            </w:pPr>
            <w:r>
              <w:rPr>
                <w:rFonts w:ascii="Verdana" w:hAnsi="Verdana"/>
              </w:rPr>
              <w:t>0,54</w:t>
            </w:r>
          </w:p>
        </w:tc>
        <w:tc>
          <w:tcPr>
            <w:tcW w:w="1094" w:type="dxa"/>
            <w:vAlign w:val="center"/>
          </w:tcPr>
          <w:p w14:paraId="626E0446" w14:textId="6E5DD6FE" w:rsidR="005B6C98" w:rsidRPr="00935EB4" w:rsidRDefault="001B12F4" w:rsidP="00935EB4">
            <w:pPr>
              <w:jc w:val="center"/>
              <w:rPr>
                <w:rFonts w:ascii="Verdana" w:hAnsi="Verdana"/>
              </w:rPr>
            </w:pPr>
            <w:r>
              <w:rPr>
                <w:rFonts w:ascii="Verdana" w:hAnsi="Verdana"/>
              </w:rPr>
              <w:t>&lt;0,001</w:t>
            </w:r>
          </w:p>
        </w:tc>
      </w:tr>
      <w:tr w:rsidR="005B6C98" w:rsidRPr="00935EB4" w14:paraId="79DB775B" w14:textId="77777777" w:rsidTr="008B112F">
        <w:tc>
          <w:tcPr>
            <w:tcW w:w="1489" w:type="dxa"/>
            <w:vAlign w:val="center"/>
          </w:tcPr>
          <w:p w14:paraId="004F6E64" w14:textId="45769F30" w:rsidR="005B6C98" w:rsidRPr="00935EB4" w:rsidRDefault="005B6C98" w:rsidP="00935EB4">
            <w:pPr>
              <w:jc w:val="right"/>
              <w:rPr>
                <w:rFonts w:ascii="Verdana" w:hAnsi="Verdana"/>
              </w:rPr>
            </w:pPr>
            <w:proofErr w:type="spellStart"/>
            <w:r w:rsidRPr="00935EB4">
              <w:rPr>
                <w:rFonts w:ascii="Verdana" w:hAnsi="Verdana"/>
              </w:rPr>
              <w:t>TyG</w:t>
            </w:r>
            <w:proofErr w:type="spellEnd"/>
            <w:r w:rsidRPr="00935EB4">
              <w:rPr>
                <w:rFonts w:ascii="Verdana" w:hAnsi="Verdana"/>
              </w:rPr>
              <w:t>-IMC</w:t>
            </w:r>
          </w:p>
        </w:tc>
        <w:tc>
          <w:tcPr>
            <w:tcW w:w="996" w:type="dxa"/>
            <w:vAlign w:val="center"/>
          </w:tcPr>
          <w:p w14:paraId="024A9BEB" w14:textId="277086CE" w:rsidR="005B6C98" w:rsidRPr="00935EB4" w:rsidRDefault="001B12F4" w:rsidP="00935EB4">
            <w:pPr>
              <w:jc w:val="center"/>
              <w:rPr>
                <w:rFonts w:ascii="Verdana" w:hAnsi="Verdana"/>
              </w:rPr>
            </w:pPr>
            <w:r>
              <w:rPr>
                <w:rFonts w:ascii="Verdana" w:hAnsi="Verdana"/>
              </w:rPr>
              <w:t>292,09</w:t>
            </w:r>
          </w:p>
        </w:tc>
        <w:tc>
          <w:tcPr>
            <w:tcW w:w="1022" w:type="dxa"/>
            <w:vAlign w:val="center"/>
          </w:tcPr>
          <w:p w14:paraId="034C3296" w14:textId="6CDA212F" w:rsidR="005B6C98" w:rsidRPr="00935EB4" w:rsidRDefault="001B12F4" w:rsidP="00935EB4">
            <w:pPr>
              <w:jc w:val="center"/>
              <w:rPr>
                <w:rFonts w:ascii="Verdana" w:hAnsi="Verdana"/>
              </w:rPr>
            </w:pPr>
            <w:r>
              <w:rPr>
                <w:rFonts w:ascii="Verdana" w:hAnsi="Verdana"/>
              </w:rPr>
              <w:t>35,79</w:t>
            </w:r>
          </w:p>
        </w:tc>
        <w:tc>
          <w:tcPr>
            <w:tcW w:w="996" w:type="dxa"/>
            <w:vAlign w:val="center"/>
          </w:tcPr>
          <w:p w14:paraId="1D3D466D" w14:textId="550E6035" w:rsidR="005B6C98" w:rsidRPr="00935EB4" w:rsidRDefault="001B12F4" w:rsidP="00935EB4">
            <w:pPr>
              <w:jc w:val="center"/>
              <w:rPr>
                <w:rFonts w:ascii="Verdana" w:hAnsi="Verdana"/>
              </w:rPr>
            </w:pPr>
            <w:r>
              <w:rPr>
                <w:rFonts w:ascii="Verdana" w:hAnsi="Verdana"/>
              </w:rPr>
              <w:t>254,91</w:t>
            </w:r>
          </w:p>
        </w:tc>
        <w:tc>
          <w:tcPr>
            <w:tcW w:w="1052" w:type="dxa"/>
            <w:vAlign w:val="center"/>
          </w:tcPr>
          <w:p w14:paraId="52C3820D" w14:textId="47D454C5" w:rsidR="005B6C98" w:rsidRPr="00935EB4" w:rsidRDefault="001B12F4" w:rsidP="00935EB4">
            <w:pPr>
              <w:jc w:val="center"/>
              <w:rPr>
                <w:rFonts w:ascii="Verdana" w:hAnsi="Verdana"/>
              </w:rPr>
            </w:pPr>
            <w:r>
              <w:rPr>
                <w:rFonts w:ascii="Verdana" w:hAnsi="Verdana"/>
              </w:rPr>
              <w:t>56,84</w:t>
            </w:r>
          </w:p>
        </w:tc>
        <w:tc>
          <w:tcPr>
            <w:tcW w:w="996" w:type="dxa"/>
            <w:vAlign w:val="center"/>
          </w:tcPr>
          <w:p w14:paraId="316102A1" w14:textId="68B5A7DA" w:rsidR="005B6C98" w:rsidRPr="00935EB4" w:rsidRDefault="001B12F4" w:rsidP="00935EB4">
            <w:pPr>
              <w:jc w:val="center"/>
              <w:rPr>
                <w:rFonts w:ascii="Verdana" w:hAnsi="Verdana"/>
              </w:rPr>
            </w:pPr>
            <w:r>
              <w:rPr>
                <w:rFonts w:ascii="Verdana" w:hAnsi="Verdana"/>
              </w:rPr>
              <w:t>218,78</w:t>
            </w:r>
          </w:p>
        </w:tc>
        <w:tc>
          <w:tcPr>
            <w:tcW w:w="1183" w:type="dxa"/>
            <w:vAlign w:val="center"/>
          </w:tcPr>
          <w:p w14:paraId="71AEAACF" w14:textId="793752A6" w:rsidR="005B6C98" w:rsidRPr="00935EB4" w:rsidRDefault="001B12F4" w:rsidP="00935EB4">
            <w:pPr>
              <w:jc w:val="center"/>
              <w:rPr>
                <w:rFonts w:ascii="Verdana" w:hAnsi="Verdana"/>
              </w:rPr>
            </w:pPr>
            <w:r>
              <w:rPr>
                <w:rFonts w:ascii="Verdana" w:hAnsi="Verdana"/>
              </w:rPr>
              <w:t>47,27</w:t>
            </w:r>
          </w:p>
        </w:tc>
        <w:tc>
          <w:tcPr>
            <w:tcW w:w="1094" w:type="dxa"/>
            <w:vAlign w:val="center"/>
          </w:tcPr>
          <w:p w14:paraId="0CDF9ECB" w14:textId="26A0738F" w:rsidR="005B6C98" w:rsidRPr="00935EB4" w:rsidRDefault="001B12F4" w:rsidP="00935EB4">
            <w:pPr>
              <w:jc w:val="center"/>
              <w:rPr>
                <w:rFonts w:ascii="Verdana" w:hAnsi="Verdana"/>
              </w:rPr>
            </w:pPr>
            <w:r>
              <w:rPr>
                <w:rFonts w:ascii="Verdana" w:hAnsi="Verdana"/>
              </w:rPr>
              <w:t>&lt;0,001</w:t>
            </w:r>
          </w:p>
        </w:tc>
      </w:tr>
    </w:tbl>
    <w:p w14:paraId="44EEBDE6" w14:textId="77777777" w:rsidR="007301A2" w:rsidRDefault="007301A2" w:rsidP="00025FC1">
      <w:pPr>
        <w:spacing w:line="240" w:lineRule="auto"/>
        <w:jc w:val="both"/>
        <w:rPr>
          <w:rFonts w:ascii="Verdana" w:hAnsi="Verdana"/>
          <w:sz w:val="24"/>
          <w:szCs w:val="24"/>
        </w:rPr>
      </w:pPr>
    </w:p>
    <w:p w14:paraId="0F3F9E01" w14:textId="1DD94ECF" w:rsidR="00D03E45" w:rsidRPr="00366E63" w:rsidRDefault="00D03E45" w:rsidP="00366E63">
      <w:pPr>
        <w:spacing w:line="240" w:lineRule="auto"/>
        <w:jc w:val="both"/>
        <w:rPr>
          <w:rFonts w:ascii="Verdana" w:hAnsi="Verdana"/>
          <w:sz w:val="24"/>
          <w:szCs w:val="24"/>
        </w:rPr>
      </w:pPr>
      <w:r>
        <w:rPr>
          <w:rFonts w:ascii="Verdana" w:hAnsi="Verdana"/>
          <w:sz w:val="24"/>
          <w:szCs w:val="24"/>
        </w:rPr>
        <w:t xml:space="preserve">La curva operativa del receptor para el diagnóstico de </w:t>
      </w:r>
      <w:proofErr w:type="spellStart"/>
      <w:r>
        <w:rPr>
          <w:rFonts w:ascii="Verdana" w:hAnsi="Verdana"/>
          <w:sz w:val="24"/>
          <w:szCs w:val="24"/>
        </w:rPr>
        <w:t>disglucemia</w:t>
      </w:r>
      <w:proofErr w:type="spellEnd"/>
      <w:r w:rsidR="004A3565">
        <w:rPr>
          <w:rFonts w:ascii="Verdana" w:hAnsi="Verdana"/>
          <w:sz w:val="24"/>
          <w:szCs w:val="24"/>
        </w:rPr>
        <w:t xml:space="preserve"> a través de la PTG-1h (figura 1)</w:t>
      </w:r>
      <w:r>
        <w:rPr>
          <w:rFonts w:ascii="Verdana" w:hAnsi="Verdana"/>
          <w:sz w:val="24"/>
          <w:szCs w:val="24"/>
        </w:rPr>
        <w:t xml:space="preserve">, según los valores de los índices subrogados de RI, indica un área bajo la curva con muy buena discriminación: 0,791 </w:t>
      </w:r>
      <w:r w:rsidR="004A3565">
        <w:rPr>
          <w:rFonts w:ascii="Verdana" w:hAnsi="Verdana"/>
          <w:sz w:val="24"/>
          <w:szCs w:val="24"/>
        </w:rPr>
        <w:t xml:space="preserve">para </w:t>
      </w:r>
      <w:proofErr w:type="spellStart"/>
      <w:r w:rsidR="004A3565">
        <w:rPr>
          <w:rFonts w:ascii="Verdana" w:hAnsi="Verdana"/>
          <w:sz w:val="24"/>
          <w:szCs w:val="24"/>
        </w:rPr>
        <w:t>TyG</w:t>
      </w:r>
      <w:proofErr w:type="spellEnd"/>
      <w:r w:rsidR="004A3565">
        <w:rPr>
          <w:rFonts w:ascii="Verdana" w:hAnsi="Verdana"/>
          <w:sz w:val="24"/>
          <w:szCs w:val="24"/>
        </w:rPr>
        <w:t xml:space="preserve"> y 0,775 para </w:t>
      </w:r>
      <w:proofErr w:type="spellStart"/>
      <w:r w:rsidR="004A3565">
        <w:rPr>
          <w:rFonts w:ascii="Verdana" w:hAnsi="Verdana"/>
          <w:sz w:val="24"/>
          <w:szCs w:val="24"/>
        </w:rPr>
        <w:t>TyG</w:t>
      </w:r>
      <w:proofErr w:type="spellEnd"/>
      <w:r w:rsidR="004A3565">
        <w:rPr>
          <w:rFonts w:ascii="Verdana" w:hAnsi="Verdana"/>
          <w:sz w:val="24"/>
          <w:szCs w:val="24"/>
        </w:rPr>
        <w:t xml:space="preserve">-IMC. Los puntos de corte para ambos índices fueron 8,40 y 250,00 respectivamente (tabla 4). Sin embargo, mejor rendimiento diagnóstico se alcanzó con la PTG-2h. El área bajo la curva fue superior para ambos índices: 0,798 para </w:t>
      </w:r>
      <w:proofErr w:type="spellStart"/>
      <w:r w:rsidR="004A3565">
        <w:rPr>
          <w:rFonts w:ascii="Verdana" w:hAnsi="Verdana"/>
          <w:sz w:val="24"/>
          <w:szCs w:val="24"/>
        </w:rPr>
        <w:t>TyG</w:t>
      </w:r>
      <w:proofErr w:type="spellEnd"/>
      <w:r w:rsidR="004A3565">
        <w:rPr>
          <w:rFonts w:ascii="Verdana" w:hAnsi="Verdana"/>
          <w:sz w:val="24"/>
          <w:szCs w:val="24"/>
        </w:rPr>
        <w:t xml:space="preserve"> así como 0,825 para </w:t>
      </w:r>
      <w:proofErr w:type="spellStart"/>
      <w:r w:rsidR="004A3565">
        <w:rPr>
          <w:rFonts w:ascii="Verdana" w:hAnsi="Verdana"/>
          <w:sz w:val="24"/>
          <w:szCs w:val="24"/>
        </w:rPr>
        <w:t>TyG</w:t>
      </w:r>
      <w:proofErr w:type="spellEnd"/>
      <w:r w:rsidR="004A3565">
        <w:rPr>
          <w:rFonts w:ascii="Verdana" w:hAnsi="Verdana"/>
          <w:sz w:val="24"/>
          <w:szCs w:val="24"/>
        </w:rPr>
        <w:t xml:space="preserve">-IMC. Sin embargo, los puntos de corte fueron similares a los obtenidos en la PTG-1h para ambos índices: 8,41 y 250,00. </w:t>
      </w:r>
    </w:p>
    <w:p w14:paraId="24A74720" w14:textId="028DA6AB" w:rsidR="00366E63" w:rsidRPr="00366E63" w:rsidRDefault="00366E63" w:rsidP="00366E63">
      <w:pPr>
        <w:spacing w:line="240" w:lineRule="auto"/>
        <w:jc w:val="both"/>
        <w:rPr>
          <w:rFonts w:ascii="Verdana" w:hAnsi="Verdana"/>
          <w:sz w:val="24"/>
          <w:szCs w:val="24"/>
        </w:rPr>
      </w:pPr>
    </w:p>
    <w:p w14:paraId="3AAC3F76" w14:textId="77777777" w:rsidR="001B12F4" w:rsidRDefault="001B12F4" w:rsidP="001B12F4">
      <w:pPr>
        <w:keepNext/>
        <w:spacing w:line="240" w:lineRule="auto"/>
        <w:jc w:val="both"/>
      </w:pPr>
      <w:r w:rsidRPr="001B12F4">
        <w:rPr>
          <w:rFonts w:ascii="Verdana" w:hAnsi="Verdana"/>
          <w:noProof/>
          <w:sz w:val="24"/>
          <w:szCs w:val="24"/>
          <w:lang w:val="es-ES" w:eastAsia="es-ES"/>
        </w:rPr>
        <w:lastRenderedPageBreak/>
        <w:drawing>
          <wp:inline distT="0" distB="0" distL="0" distR="0" wp14:anchorId="223173FB" wp14:editId="624B89FC">
            <wp:extent cx="3505200" cy="3505200"/>
            <wp:effectExtent l="0" t="0" r="0" b="0"/>
            <wp:docPr id="133220178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71" cy="3543371"/>
                    </a:xfrm>
                    <a:prstGeom prst="rect">
                      <a:avLst/>
                    </a:prstGeom>
                    <a:noFill/>
                    <a:ln>
                      <a:noFill/>
                    </a:ln>
                  </pic:spPr>
                </pic:pic>
              </a:graphicData>
            </a:graphic>
          </wp:inline>
        </w:drawing>
      </w:r>
    </w:p>
    <w:p w14:paraId="5E3B1662" w14:textId="3B12AB9D" w:rsidR="001B12F4" w:rsidRPr="001B12F4" w:rsidRDefault="001B12F4" w:rsidP="001B12F4">
      <w:pPr>
        <w:pStyle w:val="Epgrafe"/>
        <w:jc w:val="both"/>
        <w:rPr>
          <w:rFonts w:ascii="Verdana" w:hAnsi="Verdana"/>
          <w:i w:val="0"/>
          <w:iCs w:val="0"/>
          <w:color w:val="auto"/>
          <w:sz w:val="24"/>
          <w:szCs w:val="24"/>
        </w:rPr>
      </w:pPr>
      <w:r w:rsidRPr="001B12F4">
        <w:rPr>
          <w:rFonts w:ascii="Verdana" w:hAnsi="Verdana"/>
          <w:i w:val="0"/>
          <w:iCs w:val="0"/>
          <w:color w:val="auto"/>
          <w:sz w:val="24"/>
          <w:szCs w:val="24"/>
        </w:rPr>
        <w:t xml:space="preserve">Figura </w:t>
      </w:r>
      <w:r w:rsidRPr="001B12F4">
        <w:rPr>
          <w:rFonts w:ascii="Verdana" w:hAnsi="Verdana"/>
          <w:i w:val="0"/>
          <w:iCs w:val="0"/>
          <w:color w:val="auto"/>
          <w:sz w:val="24"/>
          <w:szCs w:val="24"/>
        </w:rPr>
        <w:fldChar w:fldCharType="begin"/>
      </w:r>
      <w:r w:rsidRPr="001B12F4">
        <w:rPr>
          <w:rFonts w:ascii="Verdana" w:hAnsi="Verdana"/>
          <w:i w:val="0"/>
          <w:iCs w:val="0"/>
          <w:color w:val="auto"/>
          <w:sz w:val="24"/>
          <w:szCs w:val="24"/>
        </w:rPr>
        <w:instrText xml:space="preserve"> SEQ Figura \* ARABIC </w:instrText>
      </w:r>
      <w:r w:rsidRPr="001B12F4">
        <w:rPr>
          <w:rFonts w:ascii="Verdana" w:hAnsi="Verdana"/>
          <w:i w:val="0"/>
          <w:iCs w:val="0"/>
          <w:color w:val="auto"/>
          <w:sz w:val="24"/>
          <w:szCs w:val="24"/>
        </w:rPr>
        <w:fldChar w:fldCharType="separate"/>
      </w:r>
      <w:r w:rsidR="00D35E10">
        <w:rPr>
          <w:rFonts w:ascii="Verdana" w:hAnsi="Verdana"/>
          <w:i w:val="0"/>
          <w:iCs w:val="0"/>
          <w:noProof/>
          <w:color w:val="auto"/>
          <w:sz w:val="24"/>
          <w:szCs w:val="24"/>
        </w:rPr>
        <w:t>1</w:t>
      </w:r>
      <w:r w:rsidRPr="001B12F4">
        <w:rPr>
          <w:rFonts w:ascii="Verdana" w:hAnsi="Verdana"/>
          <w:i w:val="0"/>
          <w:iCs w:val="0"/>
          <w:color w:val="auto"/>
          <w:sz w:val="24"/>
          <w:szCs w:val="24"/>
        </w:rPr>
        <w:fldChar w:fldCharType="end"/>
      </w:r>
      <w:r w:rsidRPr="001B12F4">
        <w:rPr>
          <w:rFonts w:ascii="Verdana" w:hAnsi="Verdana"/>
          <w:i w:val="0"/>
          <w:iCs w:val="0"/>
          <w:color w:val="auto"/>
          <w:sz w:val="24"/>
          <w:szCs w:val="24"/>
        </w:rPr>
        <w:t xml:space="preserve">. </w:t>
      </w:r>
      <w:r w:rsidR="00DE3326" w:rsidRPr="00D35E10">
        <w:rPr>
          <w:rFonts w:ascii="Verdana" w:hAnsi="Verdana"/>
          <w:i w:val="0"/>
          <w:iCs w:val="0"/>
          <w:color w:val="auto"/>
          <w:sz w:val="24"/>
          <w:szCs w:val="24"/>
        </w:rPr>
        <w:t xml:space="preserve">Curva operativa del receptor de los índices subrogados de resistencia insulínica para el diagnóstico de </w:t>
      </w:r>
      <w:proofErr w:type="spellStart"/>
      <w:r w:rsidR="00DE3326" w:rsidRPr="00D35E10">
        <w:rPr>
          <w:rFonts w:ascii="Verdana" w:hAnsi="Verdana"/>
          <w:i w:val="0"/>
          <w:iCs w:val="0"/>
          <w:color w:val="auto"/>
          <w:sz w:val="24"/>
          <w:szCs w:val="24"/>
        </w:rPr>
        <w:t>disglucemia</w:t>
      </w:r>
      <w:proofErr w:type="spellEnd"/>
      <w:r w:rsidR="00DE3326" w:rsidRPr="00D35E10">
        <w:rPr>
          <w:rFonts w:ascii="Verdana" w:hAnsi="Verdana"/>
          <w:i w:val="0"/>
          <w:iCs w:val="0"/>
          <w:color w:val="auto"/>
          <w:sz w:val="24"/>
          <w:szCs w:val="24"/>
        </w:rPr>
        <w:t xml:space="preserve"> </w:t>
      </w:r>
      <w:r w:rsidR="00DE3326">
        <w:rPr>
          <w:rFonts w:ascii="Verdana" w:hAnsi="Verdana"/>
          <w:i w:val="0"/>
          <w:iCs w:val="0"/>
          <w:color w:val="auto"/>
          <w:sz w:val="24"/>
          <w:szCs w:val="24"/>
        </w:rPr>
        <w:t xml:space="preserve">basado </w:t>
      </w:r>
      <w:r w:rsidR="00DE3326" w:rsidRPr="00D35E10">
        <w:rPr>
          <w:rFonts w:ascii="Verdana" w:hAnsi="Verdana"/>
          <w:i w:val="0"/>
          <w:iCs w:val="0"/>
          <w:color w:val="auto"/>
          <w:sz w:val="24"/>
          <w:szCs w:val="24"/>
        </w:rPr>
        <w:t xml:space="preserve">el programa de estudio </w:t>
      </w:r>
      <w:r w:rsidR="00DE3326">
        <w:rPr>
          <w:rFonts w:ascii="Verdana" w:hAnsi="Verdana"/>
          <w:i w:val="0"/>
          <w:iCs w:val="0"/>
          <w:color w:val="auto"/>
          <w:sz w:val="24"/>
          <w:szCs w:val="24"/>
        </w:rPr>
        <w:t>en</w:t>
      </w:r>
      <w:r w:rsidR="00DE3326" w:rsidRPr="00D35E10">
        <w:rPr>
          <w:rFonts w:ascii="Verdana" w:hAnsi="Verdana"/>
          <w:i w:val="0"/>
          <w:iCs w:val="0"/>
          <w:color w:val="auto"/>
          <w:sz w:val="24"/>
          <w:szCs w:val="24"/>
        </w:rPr>
        <w:t xml:space="preserve"> la PTG-</w:t>
      </w:r>
      <w:r w:rsidR="00DE3326">
        <w:rPr>
          <w:rFonts w:ascii="Verdana" w:hAnsi="Verdana"/>
          <w:i w:val="0"/>
          <w:iCs w:val="0"/>
          <w:color w:val="auto"/>
          <w:sz w:val="24"/>
          <w:szCs w:val="24"/>
        </w:rPr>
        <w:t>1</w:t>
      </w:r>
      <w:r w:rsidR="00DE3326" w:rsidRPr="00D35E10">
        <w:rPr>
          <w:rFonts w:ascii="Verdana" w:hAnsi="Verdana"/>
          <w:i w:val="0"/>
          <w:iCs w:val="0"/>
          <w:color w:val="auto"/>
          <w:sz w:val="24"/>
          <w:szCs w:val="24"/>
        </w:rPr>
        <w:t>h</w:t>
      </w:r>
    </w:p>
    <w:p w14:paraId="1BD6A244" w14:textId="77777777" w:rsidR="001B12F4" w:rsidRPr="001B12F4" w:rsidRDefault="001B12F4" w:rsidP="001B12F4">
      <w:pPr>
        <w:spacing w:line="240" w:lineRule="auto"/>
        <w:jc w:val="both"/>
        <w:rPr>
          <w:rFonts w:ascii="Verdana" w:hAnsi="Verdana"/>
          <w:sz w:val="24"/>
          <w:szCs w:val="24"/>
        </w:rPr>
      </w:pPr>
    </w:p>
    <w:p w14:paraId="1C767328" w14:textId="77777777" w:rsidR="00D35E10" w:rsidRDefault="00D35E10" w:rsidP="00D35E10">
      <w:pPr>
        <w:keepNext/>
        <w:spacing w:line="240" w:lineRule="auto"/>
        <w:jc w:val="both"/>
      </w:pPr>
      <w:r w:rsidRPr="00D35E10">
        <w:rPr>
          <w:rFonts w:ascii="Verdana" w:hAnsi="Verdana"/>
          <w:noProof/>
          <w:sz w:val="24"/>
          <w:szCs w:val="24"/>
          <w:lang w:val="es-ES" w:eastAsia="es-ES"/>
        </w:rPr>
        <w:lastRenderedPageBreak/>
        <w:drawing>
          <wp:inline distT="0" distB="0" distL="0" distR="0" wp14:anchorId="2E0B9A86" wp14:editId="7C609F0F">
            <wp:extent cx="3505200" cy="3505200"/>
            <wp:effectExtent l="0" t="0" r="0" b="0"/>
            <wp:docPr id="10492817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2632" cy="3522632"/>
                    </a:xfrm>
                    <a:prstGeom prst="rect">
                      <a:avLst/>
                    </a:prstGeom>
                    <a:noFill/>
                    <a:ln>
                      <a:noFill/>
                    </a:ln>
                  </pic:spPr>
                </pic:pic>
              </a:graphicData>
            </a:graphic>
          </wp:inline>
        </w:drawing>
      </w:r>
    </w:p>
    <w:p w14:paraId="0E33E34B" w14:textId="696C85C1" w:rsidR="00D35E10" w:rsidRPr="00D35E10" w:rsidRDefault="00D35E10" w:rsidP="00D35E10">
      <w:pPr>
        <w:pStyle w:val="Epgrafe"/>
        <w:jc w:val="both"/>
        <w:rPr>
          <w:rFonts w:ascii="Verdana" w:hAnsi="Verdana"/>
          <w:i w:val="0"/>
          <w:iCs w:val="0"/>
          <w:color w:val="auto"/>
          <w:sz w:val="24"/>
          <w:szCs w:val="24"/>
        </w:rPr>
      </w:pPr>
      <w:r w:rsidRPr="00D35E10">
        <w:rPr>
          <w:rFonts w:ascii="Verdana" w:hAnsi="Verdana"/>
          <w:i w:val="0"/>
          <w:iCs w:val="0"/>
          <w:color w:val="auto"/>
          <w:sz w:val="24"/>
          <w:szCs w:val="24"/>
        </w:rPr>
        <w:t xml:space="preserve">Figura </w:t>
      </w:r>
      <w:r w:rsidRPr="00D35E10">
        <w:rPr>
          <w:rFonts w:ascii="Verdana" w:hAnsi="Verdana"/>
          <w:i w:val="0"/>
          <w:iCs w:val="0"/>
          <w:color w:val="auto"/>
          <w:sz w:val="24"/>
          <w:szCs w:val="24"/>
        </w:rPr>
        <w:fldChar w:fldCharType="begin"/>
      </w:r>
      <w:r w:rsidRPr="00D35E10">
        <w:rPr>
          <w:rFonts w:ascii="Verdana" w:hAnsi="Verdana"/>
          <w:i w:val="0"/>
          <w:iCs w:val="0"/>
          <w:color w:val="auto"/>
          <w:sz w:val="24"/>
          <w:szCs w:val="24"/>
        </w:rPr>
        <w:instrText xml:space="preserve"> SEQ Figura \* ARABIC </w:instrText>
      </w:r>
      <w:r w:rsidRPr="00D35E10">
        <w:rPr>
          <w:rFonts w:ascii="Verdana" w:hAnsi="Verdana"/>
          <w:i w:val="0"/>
          <w:iCs w:val="0"/>
          <w:color w:val="auto"/>
          <w:sz w:val="24"/>
          <w:szCs w:val="24"/>
        </w:rPr>
        <w:fldChar w:fldCharType="separate"/>
      </w:r>
      <w:r w:rsidRPr="00D35E10">
        <w:rPr>
          <w:rFonts w:ascii="Verdana" w:hAnsi="Verdana"/>
          <w:i w:val="0"/>
          <w:iCs w:val="0"/>
          <w:noProof/>
          <w:color w:val="auto"/>
          <w:sz w:val="24"/>
          <w:szCs w:val="24"/>
        </w:rPr>
        <w:t>2</w:t>
      </w:r>
      <w:r w:rsidRPr="00D35E10">
        <w:rPr>
          <w:rFonts w:ascii="Verdana" w:hAnsi="Verdana"/>
          <w:i w:val="0"/>
          <w:iCs w:val="0"/>
          <w:color w:val="auto"/>
          <w:sz w:val="24"/>
          <w:szCs w:val="24"/>
        </w:rPr>
        <w:fldChar w:fldCharType="end"/>
      </w:r>
      <w:r>
        <w:rPr>
          <w:rFonts w:ascii="Verdana" w:hAnsi="Verdana"/>
          <w:i w:val="0"/>
          <w:iCs w:val="0"/>
          <w:color w:val="auto"/>
          <w:sz w:val="24"/>
          <w:szCs w:val="24"/>
        </w:rPr>
        <w:t xml:space="preserve">. </w:t>
      </w:r>
      <w:r w:rsidRPr="00D35E10">
        <w:rPr>
          <w:rFonts w:ascii="Verdana" w:hAnsi="Verdana"/>
          <w:i w:val="0"/>
          <w:iCs w:val="0"/>
          <w:color w:val="auto"/>
          <w:sz w:val="24"/>
          <w:szCs w:val="24"/>
        </w:rPr>
        <w:t xml:space="preserve">Curva operativa del receptor de los índices subrogados de resistencia insulínica para el diagnóstico de </w:t>
      </w:r>
      <w:proofErr w:type="spellStart"/>
      <w:r w:rsidRPr="00D35E10">
        <w:rPr>
          <w:rFonts w:ascii="Verdana" w:hAnsi="Verdana"/>
          <w:i w:val="0"/>
          <w:iCs w:val="0"/>
          <w:color w:val="auto"/>
          <w:sz w:val="24"/>
          <w:szCs w:val="24"/>
        </w:rPr>
        <w:t>disglucemia</w:t>
      </w:r>
      <w:proofErr w:type="spellEnd"/>
      <w:r w:rsidRPr="00D35E10">
        <w:rPr>
          <w:rFonts w:ascii="Verdana" w:hAnsi="Verdana"/>
          <w:i w:val="0"/>
          <w:iCs w:val="0"/>
          <w:color w:val="auto"/>
          <w:sz w:val="24"/>
          <w:szCs w:val="24"/>
        </w:rPr>
        <w:t xml:space="preserve"> </w:t>
      </w:r>
      <w:r w:rsidR="00DE3326">
        <w:rPr>
          <w:rFonts w:ascii="Verdana" w:hAnsi="Verdana"/>
          <w:i w:val="0"/>
          <w:iCs w:val="0"/>
          <w:color w:val="auto"/>
          <w:sz w:val="24"/>
          <w:szCs w:val="24"/>
        </w:rPr>
        <w:t xml:space="preserve">basado </w:t>
      </w:r>
      <w:r w:rsidR="00DE3326" w:rsidRPr="00D35E10">
        <w:rPr>
          <w:rFonts w:ascii="Verdana" w:hAnsi="Verdana"/>
          <w:i w:val="0"/>
          <w:iCs w:val="0"/>
          <w:color w:val="auto"/>
          <w:sz w:val="24"/>
          <w:szCs w:val="24"/>
        </w:rPr>
        <w:t xml:space="preserve">el programa de estudio </w:t>
      </w:r>
      <w:r w:rsidR="00DE3326">
        <w:rPr>
          <w:rFonts w:ascii="Verdana" w:hAnsi="Verdana"/>
          <w:i w:val="0"/>
          <w:iCs w:val="0"/>
          <w:color w:val="auto"/>
          <w:sz w:val="24"/>
          <w:szCs w:val="24"/>
        </w:rPr>
        <w:t>en</w:t>
      </w:r>
      <w:r w:rsidRPr="00D35E10">
        <w:rPr>
          <w:rFonts w:ascii="Verdana" w:hAnsi="Verdana"/>
          <w:i w:val="0"/>
          <w:iCs w:val="0"/>
          <w:color w:val="auto"/>
          <w:sz w:val="24"/>
          <w:szCs w:val="24"/>
        </w:rPr>
        <w:t xml:space="preserve"> la PTG-2h</w:t>
      </w:r>
    </w:p>
    <w:p w14:paraId="40605723" w14:textId="77777777" w:rsidR="00366E63" w:rsidRPr="00366E63" w:rsidRDefault="00366E63" w:rsidP="00366E63">
      <w:pPr>
        <w:spacing w:line="240" w:lineRule="auto"/>
        <w:jc w:val="both"/>
        <w:rPr>
          <w:rFonts w:ascii="Verdana" w:hAnsi="Verdana"/>
          <w:sz w:val="24"/>
          <w:szCs w:val="24"/>
        </w:rPr>
      </w:pPr>
    </w:p>
    <w:p w14:paraId="26143A53" w14:textId="334F16FF" w:rsidR="00D35E10" w:rsidRPr="00D35E10" w:rsidRDefault="00D35E10" w:rsidP="00D35E10">
      <w:pPr>
        <w:pStyle w:val="Epgrafe"/>
        <w:keepNext/>
        <w:rPr>
          <w:rFonts w:ascii="Verdana" w:hAnsi="Verdana"/>
          <w:i w:val="0"/>
          <w:iCs w:val="0"/>
          <w:color w:val="auto"/>
          <w:sz w:val="24"/>
          <w:szCs w:val="24"/>
        </w:rPr>
      </w:pPr>
      <w:r w:rsidRPr="00D35E10">
        <w:rPr>
          <w:rFonts w:ascii="Verdana" w:hAnsi="Verdana"/>
          <w:i w:val="0"/>
          <w:iCs w:val="0"/>
          <w:color w:val="auto"/>
          <w:sz w:val="24"/>
          <w:szCs w:val="24"/>
        </w:rPr>
        <w:t xml:space="preserve">Tabla </w:t>
      </w:r>
      <w:r w:rsidRPr="00D35E10">
        <w:rPr>
          <w:rFonts w:ascii="Verdana" w:hAnsi="Verdana"/>
          <w:i w:val="0"/>
          <w:iCs w:val="0"/>
          <w:color w:val="auto"/>
          <w:sz w:val="24"/>
          <w:szCs w:val="24"/>
        </w:rPr>
        <w:fldChar w:fldCharType="begin"/>
      </w:r>
      <w:r w:rsidRPr="00D35E10">
        <w:rPr>
          <w:rFonts w:ascii="Verdana" w:hAnsi="Verdana"/>
          <w:i w:val="0"/>
          <w:iCs w:val="0"/>
          <w:color w:val="auto"/>
          <w:sz w:val="24"/>
          <w:szCs w:val="24"/>
        </w:rPr>
        <w:instrText xml:space="preserve"> SEQ Tabla \* ARABIC </w:instrText>
      </w:r>
      <w:r w:rsidRPr="00D35E10">
        <w:rPr>
          <w:rFonts w:ascii="Verdana" w:hAnsi="Verdana"/>
          <w:i w:val="0"/>
          <w:iCs w:val="0"/>
          <w:color w:val="auto"/>
          <w:sz w:val="24"/>
          <w:szCs w:val="24"/>
        </w:rPr>
        <w:fldChar w:fldCharType="separate"/>
      </w:r>
      <w:r w:rsidRPr="00D35E10">
        <w:rPr>
          <w:rFonts w:ascii="Verdana" w:hAnsi="Verdana"/>
          <w:i w:val="0"/>
          <w:iCs w:val="0"/>
          <w:noProof/>
          <w:color w:val="auto"/>
          <w:sz w:val="24"/>
          <w:szCs w:val="24"/>
        </w:rPr>
        <w:t>4</w:t>
      </w:r>
      <w:r w:rsidRPr="00D35E10">
        <w:rPr>
          <w:rFonts w:ascii="Verdana" w:hAnsi="Verdana"/>
          <w:i w:val="0"/>
          <w:iCs w:val="0"/>
          <w:color w:val="auto"/>
          <w:sz w:val="24"/>
          <w:szCs w:val="24"/>
        </w:rPr>
        <w:fldChar w:fldCharType="end"/>
      </w:r>
      <w:r w:rsidRPr="00D35E10">
        <w:rPr>
          <w:rFonts w:ascii="Verdana" w:hAnsi="Verdana"/>
          <w:i w:val="0"/>
          <w:iCs w:val="0"/>
          <w:color w:val="auto"/>
          <w:sz w:val="24"/>
          <w:szCs w:val="24"/>
        </w:rPr>
        <w:t xml:space="preserve">. Comparación de las COR con sus puntos de corte para cada uno de los </w:t>
      </w:r>
      <w:r>
        <w:rPr>
          <w:rFonts w:ascii="Verdana" w:hAnsi="Verdana"/>
          <w:i w:val="0"/>
          <w:iCs w:val="0"/>
          <w:color w:val="auto"/>
          <w:sz w:val="24"/>
          <w:szCs w:val="24"/>
        </w:rPr>
        <w:t>í</w:t>
      </w:r>
      <w:r w:rsidRPr="00D35E10">
        <w:rPr>
          <w:rFonts w:ascii="Verdana" w:hAnsi="Verdana"/>
          <w:i w:val="0"/>
          <w:iCs w:val="0"/>
          <w:color w:val="auto"/>
          <w:sz w:val="24"/>
          <w:szCs w:val="24"/>
        </w:rPr>
        <w:t xml:space="preserve">ndices </w:t>
      </w:r>
      <w:r>
        <w:rPr>
          <w:rFonts w:ascii="Verdana" w:hAnsi="Verdana"/>
          <w:i w:val="0"/>
          <w:iCs w:val="0"/>
          <w:color w:val="auto"/>
          <w:sz w:val="24"/>
          <w:szCs w:val="24"/>
        </w:rPr>
        <w:t>s</w:t>
      </w:r>
      <w:r w:rsidRPr="00D35E10">
        <w:rPr>
          <w:rFonts w:ascii="Verdana" w:hAnsi="Verdana"/>
          <w:i w:val="0"/>
          <w:iCs w:val="0"/>
          <w:color w:val="auto"/>
          <w:sz w:val="24"/>
          <w:szCs w:val="24"/>
        </w:rPr>
        <w:t>ubrogados de RI en ambas pruebas de tolerancia a la glucosa</w:t>
      </w:r>
    </w:p>
    <w:tbl>
      <w:tblPr>
        <w:tblStyle w:val="Tablaconcuadrcula"/>
        <w:tblW w:w="5000" w:type="pct"/>
        <w:tblLook w:val="04A0" w:firstRow="1" w:lastRow="0" w:firstColumn="1" w:lastColumn="0" w:noHBand="0" w:noVBand="1"/>
      </w:tblPr>
      <w:tblGrid>
        <w:gridCol w:w="1252"/>
        <w:gridCol w:w="2474"/>
        <w:gridCol w:w="1047"/>
        <w:gridCol w:w="1047"/>
        <w:gridCol w:w="2014"/>
        <w:gridCol w:w="1220"/>
      </w:tblGrid>
      <w:tr w:rsidR="00DE3326" w14:paraId="3EA1EEA1" w14:textId="0A01A084" w:rsidTr="00DE3326">
        <w:tc>
          <w:tcPr>
            <w:tcW w:w="691" w:type="pct"/>
            <w:vAlign w:val="center"/>
          </w:tcPr>
          <w:p w14:paraId="435B45BC" w14:textId="3D66040A" w:rsidR="00DE3326" w:rsidRDefault="00DE3326" w:rsidP="00AE7452">
            <w:pPr>
              <w:jc w:val="center"/>
              <w:rPr>
                <w:rFonts w:ascii="Verdana" w:hAnsi="Verdana"/>
                <w:sz w:val="24"/>
                <w:szCs w:val="24"/>
              </w:rPr>
            </w:pPr>
            <w:r>
              <w:rPr>
                <w:rFonts w:ascii="Verdana" w:hAnsi="Verdana"/>
                <w:sz w:val="24"/>
                <w:szCs w:val="24"/>
              </w:rPr>
              <w:t>Prueba</w:t>
            </w:r>
          </w:p>
        </w:tc>
        <w:tc>
          <w:tcPr>
            <w:tcW w:w="1366" w:type="pct"/>
            <w:vAlign w:val="center"/>
          </w:tcPr>
          <w:p w14:paraId="1F8F07B4" w14:textId="66AB3E9A" w:rsidR="00DE3326" w:rsidRDefault="00DE3326" w:rsidP="00AE7452">
            <w:pPr>
              <w:jc w:val="center"/>
              <w:rPr>
                <w:rFonts w:ascii="Verdana" w:hAnsi="Verdana"/>
                <w:sz w:val="24"/>
                <w:szCs w:val="24"/>
              </w:rPr>
            </w:pPr>
            <w:r>
              <w:rPr>
                <w:rFonts w:ascii="Verdana" w:hAnsi="Verdana"/>
                <w:sz w:val="24"/>
                <w:szCs w:val="24"/>
              </w:rPr>
              <w:t>Índice subrogado</w:t>
            </w:r>
          </w:p>
        </w:tc>
        <w:tc>
          <w:tcPr>
            <w:tcW w:w="578" w:type="pct"/>
            <w:vAlign w:val="center"/>
          </w:tcPr>
          <w:p w14:paraId="4D274607" w14:textId="1C60BA70" w:rsidR="00DE3326" w:rsidRDefault="00DE3326" w:rsidP="00AE7452">
            <w:pPr>
              <w:jc w:val="center"/>
              <w:rPr>
                <w:rFonts w:ascii="Verdana" w:hAnsi="Verdana"/>
                <w:sz w:val="24"/>
                <w:szCs w:val="24"/>
              </w:rPr>
            </w:pPr>
            <w:r>
              <w:rPr>
                <w:rFonts w:ascii="Verdana" w:hAnsi="Verdana"/>
                <w:sz w:val="24"/>
                <w:szCs w:val="24"/>
              </w:rPr>
              <w:t>Área</w:t>
            </w:r>
          </w:p>
        </w:tc>
        <w:tc>
          <w:tcPr>
            <w:tcW w:w="578" w:type="pct"/>
            <w:vAlign w:val="center"/>
          </w:tcPr>
          <w:p w14:paraId="4C7C7D83" w14:textId="79E1A582" w:rsidR="00DE3326" w:rsidRDefault="00DE3326" w:rsidP="00AE7452">
            <w:pPr>
              <w:jc w:val="center"/>
              <w:rPr>
                <w:rFonts w:ascii="Verdana" w:hAnsi="Verdana"/>
                <w:sz w:val="24"/>
                <w:szCs w:val="24"/>
              </w:rPr>
            </w:pPr>
            <w:r>
              <w:rPr>
                <w:rFonts w:ascii="Verdana" w:hAnsi="Verdana"/>
                <w:sz w:val="24"/>
                <w:szCs w:val="24"/>
              </w:rPr>
              <w:t>Sig.</w:t>
            </w:r>
          </w:p>
        </w:tc>
        <w:tc>
          <w:tcPr>
            <w:tcW w:w="1112" w:type="pct"/>
            <w:vAlign w:val="center"/>
          </w:tcPr>
          <w:p w14:paraId="5EE7F968" w14:textId="2DC856E2" w:rsidR="00DE3326" w:rsidRDefault="00DE3326" w:rsidP="00AE7452">
            <w:pPr>
              <w:jc w:val="center"/>
              <w:rPr>
                <w:rFonts w:ascii="Verdana" w:hAnsi="Verdana"/>
                <w:sz w:val="24"/>
                <w:szCs w:val="24"/>
              </w:rPr>
            </w:pPr>
            <w:r>
              <w:rPr>
                <w:rFonts w:ascii="Verdana" w:hAnsi="Verdana"/>
                <w:sz w:val="24"/>
                <w:szCs w:val="24"/>
              </w:rPr>
              <w:t>IC</w:t>
            </w:r>
          </w:p>
        </w:tc>
        <w:tc>
          <w:tcPr>
            <w:tcW w:w="674" w:type="pct"/>
            <w:vAlign w:val="center"/>
          </w:tcPr>
          <w:p w14:paraId="7B77A6F7" w14:textId="638679A8" w:rsidR="00DE3326" w:rsidRDefault="00DE3326" w:rsidP="00AE7452">
            <w:pPr>
              <w:jc w:val="center"/>
              <w:rPr>
                <w:rFonts w:ascii="Verdana" w:hAnsi="Verdana"/>
                <w:sz w:val="24"/>
                <w:szCs w:val="24"/>
              </w:rPr>
            </w:pPr>
            <w:r>
              <w:rPr>
                <w:rFonts w:ascii="Verdana" w:hAnsi="Verdana"/>
                <w:sz w:val="24"/>
                <w:szCs w:val="24"/>
              </w:rPr>
              <w:t>Corte</w:t>
            </w:r>
          </w:p>
        </w:tc>
      </w:tr>
      <w:tr w:rsidR="00DE3326" w14:paraId="0B0DBFAD" w14:textId="384D5438" w:rsidTr="00DE3326">
        <w:tc>
          <w:tcPr>
            <w:tcW w:w="691" w:type="pct"/>
            <w:vMerge w:val="restart"/>
            <w:vAlign w:val="center"/>
          </w:tcPr>
          <w:p w14:paraId="654C5A85" w14:textId="2DE51FAF" w:rsidR="00DE3326" w:rsidRDefault="00DE3326" w:rsidP="00AE7452">
            <w:pPr>
              <w:jc w:val="center"/>
              <w:rPr>
                <w:rFonts w:ascii="Verdana" w:hAnsi="Verdana"/>
                <w:sz w:val="24"/>
                <w:szCs w:val="24"/>
              </w:rPr>
            </w:pPr>
            <w:r>
              <w:rPr>
                <w:rFonts w:ascii="Verdana" w:hAnsi="Verdana"/>
                <w:sz w:val="24"/>
                <w:szCs w:val="24"/>
              </w:rPr>
              <w:t>PTG-1h</w:t>
            </w:r>
          </w:p>
        </w:tc>
        <w:tc>
          <w:tcPr>
            <w:tcW w:w="1366" w:type="pct"/>
            <w:vAlign w:val="center"/>
          </w:tcPr>
          <w:p w14:paraId="3D399DD2" w14:textId="30C27A0D" w:rsidR="00DE3326" w:rsidRDefault="00DE3326" w:rsidP="00AE7452">
            <w:pPr>
              <w:jc w:val="center"/>
              <w:rPr>
                <w:rFonts w:ascii="Verdana" w:hAnsi="Verdana"/>
                <w:sz w:val="24"/>
                <w:szCs w:val="24"/>
              </w:rPr>
            </w:pPr>
            <w:proofErr w:type="spellStart"/>
            <w:r>
              <w:rPr>
                <w:rFonts w:ascii="Verdana" w:hAnsi="Verdana"/>
                <w:sz w:val="24"/>
                <w:szCs w:val="24"/>
              </w:rPr>
              <w:t>TyG</w:t>
            </w:r>
            <w:proofErr w:type="spellEnd"/>
          </w:p>
        </w:tc>
        <w:tc>
          <w:tcPr>
            <w:tcW w:w="578" w:type="pct"/>
            <w:vAlign w:val="center"/>
          </w:tcPr>
          <w:p w14:paraId="666864A4" w14:textId="58ADC52D" w:rsidR="00DE3326" w:rsidRDefault="00DE3326" w:rsidP="00AE7452">
            <w:pPr>
              <w:jc w:val="center"/>
              <w:rPr>
                <w:rFonts w:ascii="Verdana" w:hAnsi="Verdana"/>
                <w:sz w:val="24"/>
                <w:szCs w:val="24"/>
              </w:rPr>
            </w:pPr>
            <w:r>
              <w:rPr>
                <w:rFonts w:ascii="Verdana" w:hAnsi="Verdana"/>
                <w:sz w:val="24"/>
                <w:szCs w:val="24"/>
              </w:rPr>
              <w:t>0,791</w:t>
            </w:r>
          </w:p>
        </w:tc>
        <w:tc>
          <w:tcPr>
            <w:tcW w:w="578" w:type="pct"/>
            <w:vAlign w:val="center"/>
          </w:tcPr>
          <w:p w14:paraId="2098FEE7" w14:textId="21DFAEFC" w:rsidR="00DE3326" w:rsidRDefault="00DE3326" w:rsidP="00AE7452">
            <w:pPr>
              <w:jc w:val="center"/>
              <w:rPr>
                <w:rFonts w:ascii="Verdana" w:hAnsi="Verdana"/>
                <w:sz w:val="24"/>
                <w:szCs w:val="24"/>
              </w:rPr>
            </w:pPr>
            <w:r>
              <w:rPr>
                <w:rFonts w:ascii="Verdana" w:hAnsi="Verdana"/>
                <w:sz w:val="24"/>
                <w:szCs w:val="24"/>
              </w:rPr>
              <w:t>0,000</w:t>
            </w:r>
          </w:p>
        </w:tc>
        <w:tc>
          <w:tcPr>
            <w:tcW w:w="1112" w:type="pct"/>
            <w:vAlign w:val="center"/>
          </w:tcPr>
          <w:p w14:paraId="287794FF" w14:textId="640BD0C6" w:rsidR="00DE3326" w:rsidRDefault="00DE3326" w:rsidP="00AE7452">
            <w:pPr>
              <w:jc w:val="center"/>
              <w:rPr>
                <w:rFonts w:ascii="Verdana" w:hAnsi="Verdana"/>
                <w:sz w:val="24"/>
                <w:szCs w:val="24"/>
              </w:rPr>
            </w:pPr>
            <w:r>
              <w:rPr>
                <w:rFonts w:ascii="Verdana" w:hAnsi="Verdana"/>
                <w:sz w:val="24"/>
                <w:szCs w:val="24"/>
              </w:rPr>
              <w:t>0,728 – 0,855</w:t>
            </w:r>
          </w:p>
        </w:tc>
        <w:tc>
          <w:tcPr>
            <w:tcW w:w="674" w:type="pct"/>
            <w:vAlign w:val="center"/>
          </w:tcPr>
          <w:p w14:paraId="09A4BB98" w14:textId="7AEA733F" w:rsidR="00DE3326" w:rsidRDefault="00DE3326" w:rsidP="00AE7452">
            <w:pPr>
              <w:jc w:val="center"/>
              <w:rPr>
                <w:rFonts w:ascii="Verdana" w:hAnsi="Verdana"/>
                <w:sz w:val="24"/>
                <w:szCs w:val="24"/>
              </w:rPr>
            </w:pPr>
            <w:r>
              <w:rPr>
                <w:rFonts w:ascii="Verdana" w:hAnsi="Verdana"/>
                <w:sz w:val="24"/>
                <w:szCs w:val="24"/>
              </w:rPr>
              <w:t>8,40</w:t>
            </w:r>
          </w:p>
        </w:tc>
      </w:tr>
      <w:tr w:rsidR="00DE3326" w14:paraId="2AF22211" w14:textId="0FBD6221" w:rsidTr="00DE3326">
        <w:tc>
          <w:tcPr>
            <w:tcW w:w="691" w:type="pct"/>
            <w:vMerge/>
            <w:vAlign w:val="center"/>
          </w:tcPr>
          <w:p w14:paraId="297F1216" w14:textId="77777777" w:rsidR="00DE3326" w:rsidRDefault="00DE3326" w:rsidP="00AE7452">
            <w:pPr>
              <w:jc w:val="center"/>
              <w:rPr>
                <w:rFonts w:ascii="Verdana" w:hAnsi="Verdana"/>
                <w:sz w:val="24"/>
                <w:szCs w:val="24"/>
              </w:rPr>
            </w:pPr>
          </w:p>
        </w:tc>
        <w:tc>
          <w:tcPr>
            <w:tcW w:w="1366" w:type="pct"/>
            <w:vAlign w:val="center"/>
          </w:tcPr>
          <w:p w14:paraId="0AE59F5A" w14:textId="25A5FE22" w:rsidR="00DE3326" w:rsidRDefault="00DE3326" w:rsidP="00AE7452">
            <w:pPr>
              <w:jc w:val="center"/>
              <w:rPr>
                <w:rFonts w:ascii="Verdana" w:hAnsi="Verdana"/>
                <w:sz w:val="24"/>
                <w:szCs w:val="24"/>
              </w:rPr>
            </w:pPr>
            <w:proofErr w:type="spellStart"/>
            <w:r>
              <w:rPr>
                <w:rFonts w:ascii="Verdana" w:hAnsi="Verdana"/>
                <w:sz w:val="24"/>
                <w:szCs w:val="24"/>
              </w:rPr>
              <w:t>TyG</w:t>
            </w:r>
            <w:proofErr w:type="spellEnd"/>
            <w:r>
              <w:rPr>
                <w:rFonts w:ascii="Verdana" w:hAnsi="Verdana"/>
                <w:sz w:val="24"/>
                <w:szCs w:val="24"/>
              </w:rPr>
              <w:t>-IMC</w:t>
            </w:r>
          </w:p>
        </w:tc>
        <w:tc>
          <w:tcPr>
            <w:tcW w:w="578" w:type="pct"/>
            <w:vAlign w:val="center"/>
          </w:tcPr>
          <w:p w14:paraId="261EEC81" w14:textId="6D7690AF" w:rsidR="00DE3326" w:rsidRDefault="00DE3326" w:rsidP="00AE7452">
            <w:pPr>
              <w:jc w:val="center"/>
              <w:rPr>
                <w:rFonts w:ascii="Verdana" w:hAnsi="Verdana"/>
                <w:sz w:val="24"/>
                <w:szCs w:val="24"/>
              </w:rPr>
            </w:pPr>
            <w:r>
              <w:rPr>
                <w:rFonts w:ascii="Verdana" w:hAnsi="Verdana"/>
                <w:sz w:val="24"/>
                <w:szCs w:val="24"/>
              </w:rPr>
              <w:t>0,775</w:t>
            </w:r>
          </w:p>
        </w:tc>
        <w:tc>
          <w:tcPr>
            <w:tcW w:w="578" w:type="pct"/>
            <w:vAlign w:val="center"/>
          </w:tcPr>
          <w:p w14:paraId="11022628" w14:textId="5DD0C289" w:rsidR="00DE3326" w:rsidRDefault="00DE3326" w:rsidP="00AE7452">
            <w:pPr>
              <w:jc w:val="center"/>
              <w:rPr>
                <w:rFonts w:ascii="Verdana" w:hAnsi="Verdana"/>
                <w:sz w:val="24"/>
                <w:szCs w:val="24"/>
              </w:rPr>
            </w:pPr>
            <w:r>
              <w:rPr>
                <w:rFonts w:ascii="Verdana" w:hAnsi="Verdana"/>
                <w:sz w:val="24"/>
                <w:szCs w:val="24"/>
              </w:rPr>
              <w:t>0,000</w:t>
            </w:r>
          </w:p>
        </w:tc>
        <w:tc>
          <w:tcPr>
            <w:tcW w:w="1112" w:type="pct"/>
            <w:vAlign w:val="center"/>
          </w:tcPr>
          <w:p w14:paraId="1A7E796A" w14:textId="0AF7427D" w:rsidR="00DE3326" w:rsidRDefault="00DE3326" w:rsidP="00AE7452">
            <w:pPr>
              <w:jc w:val="center"/>
              <w:rPr>
                <w:rFonts w:ascii="Verdana" w:hAnsi="Verdana"/>
                <w:sz w:val="24"/>
                <w:szCs w:val="24"/>
              </w:rPr>
            </w:pPr>
            <w:r>
              <w:rPr>
                <w:rFonts w:ascii="Verdana" w:hAnsi="Verdana"/>
                <w:sz w:val="24"/>
                <w:szCs w:val="24"/>
              </w:rPr>
              <w:t>0,705 – 0,846</w:t>
            </w:r>
          </w:p>
        </w:tc>
        <w:tc>
          <w:tcPr>
            <w:tcW w:w="674" w:type="pct"/>
            <w:vAlign w:val="center"/>
          </w:tcPr>
          <w:p w14:paraId="6F6A5065" w14:textId="0C8D6067" w:rsidR="00DE3326" w:rsidRDefault="00DE3326" w:rsidP="00AE7452">
            <w:pPr>
              <w:jc w:val="center"/>
              <w:rPr>
                <w:rFonts w:ascii="Verdana" w:hAnsi="Verdana"/>
                <w:sz w:val="24"/>
                <w:szCs w:val="24"/>
              </w:rPr>
            </w:pPr>
            <w:r>
              <w:rPr>
                <w:rFonts w:ascii="Verdana" w:hAnsi="Verdana"/>
                <w:sz w:val="24"/>
                <w:szCs w:val="24"/>
              </w:rPr>
              <w:t>250,00</w:t>
            </w:r>
          </w:p>
        </w:tc>
      </w:tr>
      <w:tr w:rsidR="00DE3326" w14:paraId="43BB3305" w14:textId="5C9B2CAC" w:rsidTr="00DE3326">
        <w:tc>
          <w:tcPr>
            <w:tcW w:w="691" w:type="pct"/>
            <w:vMerge w:val="restart"/>
            <w:vAlign w:val="center"/>
          </w:tcPr>
          <w:p w14:paraId="2611B9CD" w14:textId="4A3110FA" w:rsidR="00DE3326" w:rsidRDefault="00DE3326" w:rsidP="00AE7452">
            <w:pPr>
              <w:jc w:val="center"/>
              <w:rPr>
                <w:rFonts w:ascii="Verdana" w:hAnsi="Verdana"/>
                <w:sz w:val="24"/>
                <w:szCs w:val="24"/>
              </w:rPr>
            </w:pPr>
            <w:r>
              <w:rPr>
                <w:rFonts w:ascii="Verdana" w:hAnsi="Verdana"/>
                <w:sz w:val="24"/>
                <w:szCs w:val="24"/>
              </w:rPr>
              <w:t>PTG-2h</w:t>
            </w:r>
          </w:p>
        </w:tc>
        <w:tc>
          <w:tcPr>
            <w:tcW w:w="1366" w:type="pct"/>
            <w:vAlign w:val="center"/>
          </w:tcPr>
          <w:p w14:paraId="1111A15D" w14:textId="3F27BE39" w:rsidR="00DE3326" w:rsidRDefault="00DE3326" w:rsidP="00AE7452">
            <w:pPr>
              <w:jc w:val="center"/>
              <w:rPr>
                <w:rFonts w:ascii="Verdana" w:hAnsi="Verdana"/>
                <w:sz w:val="24"/>
                <w:szCs w:val="24"/>
              </w:rPr>
            </w:pPr>
            <w:proofErr w:type="spellStart"/>
            <w:r>
              <w:rPr>
                <w:rFonts w:ascii="Verdana" w:hAnsi="Verdana"/>
                <w:sz w:val="24"/>
                <w:szCs w:val="24"/>
              </w:rPr>
              <w:t>TyG</w:t>
            </w:r>
            <w:proofErr w:type="spellEnd"/>
          </w:p>
        </w:tc>
        <w:tc>
          <w:tcPr>
            <w:tcW w:w="578" w:type="pct"/>
            <w:vAlign w:val="center"/>
          </w:tcPr>
          <w:p w14:paraId="6C682B3C" w14:textId="10CDEFC6" w:rsidR="00DE3326" w:rsidRDefault="00DE3326" w:rsidP="00AE7452">
            <w:pPr>
              <w:jc w:val="center"/>
              <w:rPr>
                <w:rFonts w:ascii="Verdana" w:hAnsi="Verdana"/>
                <w:sz w:val="24"/>
                <w:szCs w:val="24"/>
              </w:rPr>
            </w:pPr>
            <w:r>
              <w:rPr>
                <w:rFonts w:ascii="Verdana" w:hAnsi="Verdana"/>
                <w:sz w:val="24"/>
                <w:szCs w:val="24"/>
              </w:rPr>
              <w:t>0,798</w:t>
            </w:r>
          </w:p>
        </w:tc>
        <w:tc>
          <w:tcPr>
            <w:tcW w:w="578" w:type="pct"/>
            <w:vAlign w:val="center"/>
          </w:tcPr>
          <w:p w14:paraId="4FAFF193" w14:textId="06165AF7" w:rsidR="00DE3326" w:rsidRDefault="00DE3326" w:rsidP="00AE7452">
            <w:pPr>
              <w:jc w:val="center"/>
              <w:rPr>
                <w:rFonts w:ascii="Verdana" w:hAnsi="Verdana"/>
                <w:sz w:val="24"/>
                <w:szCs w:val="24"/>
              </w:rPr>
            </w:pPr>
            <w:r>
              <w:rPr>
                <w:rFonts w:ascii="Verdana" w:hAnsi="Verdana"/>
                <w:sz w:val="24"/>
                <w:szCs w:val="24"/>
              </w:rPr>
              <w:t>0,000</w:t>
            </w:r>
          </w:p>
        </w:tc>
        <w:tc>
          <w:tcPr>
            <w:tcW w:w="1112" w:type="pct"/>
            <w:vAlign w:val="center"/>
          </w:tcPr>
          <w:p w14:paraId="2BD36A7F" w14:textId="5094CA84" w:rsidR="00DE3326" w:rsidRDefault="00DE3326" w:rsidP="00AE7452">
            <w:pPr>
              <w:jc w:val="center"/>
              <w:rPr>
                <w:rFonts w:ascii="Verdana" w:hAnsi="Verdana"/>
                <w:sz w:val="24"/>
                <w:szCs w:val="24"/>
              </w:rPr>
            </w:pPr>
            <w:r>
              <w:rPr>
                <w:rFonts w:ascii="Verdana" w:hAnsi="Verdana"/>
                <w:sz w:val="24"/>
                <w:szCs w:val="24"/>
              </w:rPr>
              <w:t>0,733 – 0,862</w:t>
            </w:r>
          </w:p>
        </w:tc>
        <w:tc>
          <w:tcPr>
            <w:tcW w:w="674" w:type="pct"/>
            <w:vAlign w:val="center"/>
          </w:tcPr>
          <w:p w14:paraId="480DB799" w14:textId="50224116" w:rsidR="00DE3326" w:rsidRDefault="00DE3326" w:rsidP="00AE7452">
            <w:pPr>
              <w:jc w:val="center"/>
              <w:rPr>
                <w:rFonts w:ascii="Verdana" w:hAnsi="Verdana"/>
                <w:sz w:val="24"/>
                <w:szCs w:val="24"/>
              </w:rPr>
            </w:pPr>
            <w:r>
              <w:rPr>
                <w:rFonts w:ascii="Verdana" w:hAnsi="Verdana"/>
                <w:sz w:val="24"/>
                <w:szCs w:val="24"/>
              </w:rPr>
              <w:t>8,41</w:t>
            </w:r>
          </w:p>
        </w:tc>
      </w:tr>
      <w:tr w:rsidR="00DE3326" w14:paraId="6F2F3CF0" w14:textId="51493EC0" w:rsidTr="00DE3326">
        <w:tc>
          <w:tcPr>
            <w:tcW w:w="691" w:type="pct"/>
            <w:vMerge/>
            <w:vAlign w:val="center"/>
          </w:tcPr>
          <w:p w14:paraId="7FA128AB" w14:textId="77777777" w:rsidR="00DE3326" w:rsidRDefault="00DE3326" w:rsidP="00AE7452">
            <w:pPr>
              <w:jc w:val="center"/>
              <w:rPr>
                <w:rFonts w:ascii="Verdana" w:hAnsi="Verdana"/>
                <w:sz w:val="24"/>
                <w:szCs w:val="24"/>
              </w:rPr>
            </w:pPr>
          </w:p>
        </w:tc>
        <w:tc>
          <w:tcPr>
            <w:tcW w:w="1366" w:type="pct"/>
            <w:vAlign w:val="center"/>
          </w:tcPr>
          <w:p w14:paraId="64A230DD" w14:textId="72B9697F" w:rsidR="00DE3326" w:rsidRDefault="00DE3326" w:rsidP="00AE7452">
            <w:pPr>
              <w:jc w:val="center"/>
              <w:rPr>
                <w:rFonts w:ascii="Verdana" w:hAnsi="Verdana"/>
                <w:sz w:val="24"/>
                <w:szCs w:val="24"/>
              </w:rPr>
            </w:pPr>
            <w:proofErr w:type="spellStart"/>
            <w:r>
              <w:rPr>
                <w:rFonts w:ascii="Verdana" w:hAnsi="Verdana"/>
                <w:sz w:val="24"/>
                <w:szCs w:val="24"/>
              </w:rPr>
              <w:t>TyG</w:t>
            </w:r>
            <w:proofErr w:type="spellEnd"/>
            <w:r>
              <w:rPr>
                <w:rFonts w:ascii="Verdana" w:hAnsi="Verdana"/>
                <w:sz w:val="24"/>
                <w:szCs w:val="24"/>
              </w:rPr>
              <w:t>-IMC</w:t>
            </w:r>
          </w:p>
        </w:tc>
        <w:tc>
          <w:tcPr>
            <w:tcW w:w="578" w:type="pct"/>
            <w:vAlign w:val="center"/>
          </w:tcPr>
          <w:p w14:paraId="3D397B28" w14:textId="75BFAABC" w:rsidR="00DE3326" w:rsidRDefault="00DE3326" w:rsidP="00AE7452">
            <w:pPr>
              <w:jc w:val="center"/>
              <w:rPr>
                <w:rFonts w:ascii="Verdana" w:hAnsi="Verdana"/>
                <w:sz w:val="24"/>
                <w:szCs w:val="24"/>
              </w:rPr>
            </w:pPr>
            <w:r>
              <w:rPr>
                <w:rFonts w:ascii="Verdana" w:hAnsi="Verdana"/>
                <w:sz w:val="24"/>
                <w:szCs w:val="24"/>
              </w:rPr>
              <w:t>0,825</w:t>
            </w:r>
          </w:p>
        </w:tc>
        <w:tc>
          <w:tcPr>
            <w:tcW w:w="578" w:type="pct"/>
            <w:vAlign w:val="center"/>
          </w:tcPr>
          <w:p w14:paraId="0383FE3B" w14:textId="2CA3F485" w:rsidR="00DE3326" w:rsidRDefault="00DE3326" w:rsidP="00AE7452">
            <w:pPr>
              <w:jc w:val="center"/>
              <w:rPr>
                <w:rFonts w:ascii="Verdana" w:hAnsi="Verdana"/>
                <w:sz w:val="24"/>
                <w:szCs w:val="24"/>
              </w:rPr>
            </w:pPr>
            <w:r>
              <w:rPr>
                <w:rFonts w:ascii="Verdana" w:hAnsi="Verdana"/>
                <w:sz w:val="24"/>
                <w:szCs w:val="24"/>
              </w:rPr>
              <w:t>0,000</w:t>
            </w:r>
          </w:p>
        </w:tc>
        <w:tc>
          <w:tcPr>
            <w:tcW w:w="1112" w:type="pct"/>
            <w:vAlign w:val="center"/>
          </w:tcPr>
          <w:p w14:paraId="79BCD7BA" w14:textId="6F154A2E" w:rsidR="00DE3326" w:rsidRDefault="00DE3326" w:rsidP="00AE7452">
            <w:pPr>
              <w:jc w:val="center"/>
              <w:rPr>
                <w:rFonts w:ascii="Verdana" w:hAnsi="Verdana"/>
                <w:sz w:val="24"/>
                <w:szCs w:val="24"/>
              </w:rPr>
            </w:pPr>
            <w:r>
              <w:rPr>
                <w:rFonts w:ascii="Verdana" w:hAnsi="Verdana"/>
                <w:sz w:val="24"/>
                <w:szCs w:val="24"/>
              </w:rPr>
              <w:t>0,753 – 0,898</w:t>
            </w:r>
          </w:p>
        </w:tc>
        <w:tc>
          <w:tcPr>
            <w:tcW w:w="674" w:type="pct"/>
            <w:vAlign w:val="center"/>
          </w:tcPr>
          <w:p w14:paraId="01F9213F" w14:textId="7A15B1F4" w:rsidR="00DE3326" w:rsidRDefault="00DE3326" w:rsidP="00AE7452">
            <w:pPr>
              <w:jc w:val="center"/>
              <w:rPr>
                <w:rFonts w:ascii="Verdana" w:hAnsi="Verdana"/>
                <w:sz w:val="24"/>
                <w:szCs w:val="24"/>
              </w:rPr>
            </w:pPr>
            <w:r>
              <w:rPr>
                <w:rFonts w:ascii="Verdana" w:hAnsi="Verdana"/>
                <w:sz w:val="24"/>
                <w:szCs w:val="24"/>
              </w:rPr>
              <w:t>250,00</w:t>
            </w:r>
          </w:p>
        </w:tc>
      </w:tr>
    </w:tbl>
    <w:p w14:paraId="4AFBC29D" w14:textId="77777777" w:rsidR="00366E63" w:rsidRPr="00366E63" w:rsidRDefault="00366E63" w:rsidP="00366E63">
      <w:pPr>
        <w:spacing w:line="240" w:lineRule="auto"/>
        <w:jc w:val="both"/>
        <w:rPr>
          <w:rFonts w:ascii="Verdana" w:hAnsi="Verdana"/>
          <w:sz w:val="24"/>
          <w:szCs w:val="24"/>
        </w:rPr>
      </w:pPr>
    </w:p>
    <w:p w14:paraId="38EE487C" w14:textId="74851A0D" w:rsidR="00025FC1" w:rsidRDefault="00E21193" w:rsidP="00025FC1">
      <w:pPr>
        <w:spacing w:line="240" w:lineRule="auto"/>
        <w:jc w:val="both"/>
        <w:rPr>
          <w:rFonts w:ascii="Verdana" w:hAnsi="Verdana"/>
          <w:b/>
          <w:bCs/>
          <w:sz w:val="24"/>
          <w:szCs w:val="24"/>
        </w:rPr>
      </w:pPr>
      <w:r w:rsidRPr="00E21193">
        <w:rPr>
          <w:rFonts w:ascii="Verdana" w:hAnsi="Verdana"/>
          <w:b/>
          <w:bCs/>
          <w:sz w:val="24"/>
          <w:szCs w:val="24"/>
        </w:rPr>
        <w:t>DISCUSIÓN</w:t>
      </w:r>
    </w:p>
    <w:p w14:paraId="0775D58F" w14:textId="7D7DB0BF" w:rsidR="004A3565" w:rsidRDefault="001878B2" w:rsidP="00025FC1">
      <w:pPr>
        <w:spacing w:line="240" w:lineRule="auto"/>
        <w:jc w:val="both"/>
        <w:rPr>
          <w:rFonts w:ascii="Verdana" w:hAnsi="Verdana"/>
          <w:sz w:val="24"/>
          <w:szCs w:val="24"/>
        </w:rPr>
      </w:pPr>
      <w:r>
        <w:rPr>
          <w:rFonts w:ascii="Verdana" w:hAnsi="Verdana"/>
          <w:sz w:val="24"/>
          <w:szCs w:val="24"/>
        </w:rPr>
        <w:t xml:space="preserve">El predominio del sexo masculino en la serie que se presenta se debe a la composición propia de la organización donde se desarrolló la investigación, en el contexto de las Fuerzas Armadas la mayoría de los efectivos son del sexo masculino. </w:t>
      </w:r>
    </w:p>
    <w:p w14:paraId="6CE051B8" w14:textId="28EA1682" w:rsidR="007730C1" w:rsidRDefault="001878B2" w:rsidP="007730C1">
      <w:pPr>
        <w:jc w:val="both"/>
        <w:rPr>
          <w:rFonts w:ascii="Verdana" w:hAnsi="Verdana"/>
          <w:sz w:val="24"/>
          <w:szCs w:val="24"/>
        </w:rPr>
      </w:pPr>
      <w:r w:rsidRPr="001878B2">
        <w:rPr>
          <w:rFonts w:ascii="Verdana" w:hAnsi="Verdana"/>
          <w:sz w:val="24"/>
          <w:szCs w:val="24"/>
        </w:rPr>
        <w:t xml:space="preserve">En las fuerzas militares de los países occidentales, el aumento de las tasas de obesidad se ha atribuido a dietas hipercalóricas, hábitos sedentarios y entornos laborales estresantes. Estos factores también se </w:t>
      </w:r>
      <w:r w:rsidRPr="001878B2">
        <w:rPr>
          <w:rFonts w:ascii="Verdana" w:hAnsi="Verdana"/>
          <w:sz w:val="24"/>
          <w:szCs w:val="24"/>
        </w:rPr>
        <w:lastRenderedPageBreak/>
        <w:t>observan en la población civil, un reflejo frecuente del personal militar</w:t>
      </w:r>
      <w:proofErr w:type="gramStart"/>
      <w:r w:rsidRPr="001878B2">
        <w:rPr>
          <w:rFonts w:ascii="Verdana" w:hAnsi="Verdana"/>
          <w:sz w:val="24"/>
          <w:szCs w:val="24"/>
        </w:rPr>
        <w:t>.</w:t>
      </w:r>
      <w:r w:rsidR="00946482" w:rsidRPr="00946482">
        <w:rPr>
          <w:rFonts w:ascii="Verdana" w:hAnsi="Verdana"/>
          <w:sz w:val="24"/>
          <w:szCs w:val="24"/>
          <w:vertAlign w:val="superscript"/>
        </w:rPr>
        <w:t>(</w:t>
      </w:r>
      <w:proofErr w:type="gramEnd"/>
      <w:r w:rsidR="00946482" w:rsidRPr="00946482">
        <w:rPr>
          <w:rFonts w:ascii="Verdana" w:hAnsi="Verdana"/>
          <w:sz w:val="24"/>
          <w:szCs w:val="24"/>
          <w:vertAlign w:val="superscript"/>
        </w:rPr>
        <w:t>11)</w:t>
      </w:r>
      <w:r w:rsidR="007730C1">
        <w:rPr>
          <w:rFonts w:ascii="Verdana" w:hAnsi="Verdana"/>
          <w:sz w:val="24"/>
          <w:szCs w:val="24"/>
        </w:rPr>
        <w:t xml:space="preserve"> Esta</w:t>
      </w:r>
      <w:r w:rsidR="007730C1" w:rsidRPr="007730C1">
        <w:rPr>
          <w:rFonts w:ascii="Verdana" w:hAnsi="Verdana"/>
          <w:sz w:val="24"/>
          <w:szCs w:val="24"/>
        </w:rPr>
        <w:t xml:space="preserve"> exp</w:t>
      </w:r>
      <w:r w:rsidR="007730C1">
        <w:rPr>
          <w:rFonts w:ascii="Verdana" w:hAnsi="Verdana"/>
          <w:sz w:val="24"/>
          <w:szCs w:val="24"/>
        </w:rPr>
        <w:t xml:space="preserve">osición </w:t>
      </w:r>
      <w:r w:rsidR="007730C1" w:rsidRPr="007730C1">
        <w:rPr>
          <w:rFonts w:ascii="Verdana" w:hAnsi="Verdana"/>
          <w:sz w:val="24"/>
          <w:szCs w:val="24"/>
        </w:rPr>
        <w:t>a alto</w:t>
      </w:r>
      <w:r w:rsidR="007730C1">
        <w:rPr>
          <w:rFonts w:ascii="Verdana" w:hAnsi="Verdana"/>
          <w:sz w:val="24"/>
          <w:szCs w:val="24"/>
        </w:rPr>
        <w:t>s</w:t>
      </w:r>
      <w:r w:rsidR="007730C1" w:rsidRPr="007730C1">
        <w:rPr>
          <w:rFonts w:ascii="Verdana" w:hAnsi="Verdana"/>
          <w:sz w:val="24"/>
          <w:szCs w:val="24"/>
        </w:rPr>
        <w:t xml:space="preserve"> nivel</w:t>
      </w:r>
      <w:r w:rsidR="007730C1">
        <w:rPr>
          <w:rFonts w:ascii="Verdana" w:hAnsi="Verdana"/>
          <w:sz w:val="24"/>
          <w:szCs w:val="24"/>
        </w:rPr>
        <w:t>es</w:t>
      </w:r>
      <w:r w:rsidR="007730C1" w:rsidRPr="007730C1">
        <w:rPr>
          <w:rFonts w:ascii="Verdana" w:hAnsi="Verdana"/>
          <w:sz w:val="24"/>
          <w:szCs w:val="24"/>
        </w:rPr>
        <w:t xml:space="preserve"> de estrés, rutinas irregulares y problemas de salud mental, están vinculados a un mayor riesgo de obesidad y conductas alimentarias desordenadas.</w:t>
      </w:r>
      <w:r w:rsidR="00946482" w:rsidRPr="00946482">
        <w:rPr>
          <w:rFonts w:ascii="Verdana" w:hAnsi="Verdana"/>
          <w:sz w:val="24"/>
          <w:szCs w:val="24"/>
          <w:vertAlign w:val="superscript"/>
        </w:rPr>
        <w:t>(12)</w:t>
      </w:r>
      <w:r w:rsidR="007730C1">
        <w:rPr>
          <w:rFonts w:ascii="Verdana" w:hAnsi="Verdana"/>
          <w:sz w:val="24"/>
          <w:szCs w:val="24"/>
        </w:rPr>
        <w:t xml:space="preserve"> Sin embargo, l</w:t>
      </w:r>
      <w:r w:rsidR="007730C1" w:rsidRPr="007730C1">
        <w:rPr>
          <w:rFonts w:ascii="Verdana" w:hAnsi="Verdana"/>
          <w:sz w:val="24"/>
          <w:szCs w:val="24"/>
        </w:rPr>
        <w:t>a obesidad afecta negativamente la preparación militar al perjudicar el rendimiento físico, aumentar el riesgo de lesiones y aumentar la prevalencia de enfermedades crónicas.</w:t>
      </w:r>
    </w:p>
    <w:p w14:paraId="428E2478" w14:textId="48B2B571" w:rsidR="007730C1" w:rsidRDefault="007730C1" w:rsidP="007730C1">
      <w:pPr>
        <w:jc w:val="both"/>
        <w:rPr>
          <w:rFonts w:ascii="Verdana" w:hAnsi="Verdana"/>
          <w:sz w:val="24"/>
          <w:szCs w:val="24"/>
        </w:rPr>
      </w:pPr>
      <w:r w:rsidRPr="007730C1">
        <w:rPr>
          <w:rFonts w:ascii="Verdana" w:hAnsi="Verdana"/>
          <w:sz w:val="24"/>
          <w:szCs w:val="24"/>
        </w:rPr>
        <w:t>Un estudio de 2020 encontró que entre los adultos cubanos (de 18 a 65 años), la prevalencia de obesidad general fue del 16,1</w:t>
      </w:r>
      <w:r w:rsidR="00F426D9">
        <w:rPr>
          <w:rFonts w:ascii="Verdana" w:hAnsi="Verdana"/>
          <w:sz w:val="24"/>
          <w:szCs w:val="24"/>
        </w:rPr>
        <w:t xml:space="preserve"> </w:t>
      </w:r>
      <w:r w:rsidRPr="007730C1">
        <w:rPr>
          <w:rFonts w:ascii="Verdana" w:hAnsi="Verdana"/>
          <w:sz w:val="24"/>
          <w:szCs w:val="24"/>
        </w:rPr>
        <w:t>%, mientras que la obesidad abdominal alcanzó el 45,3</w:t>
      </w:r>
      <w:r>
        <w:rPr>
          <w:rFonts w:ascii="Verdana" w:hAnsi="Verdana"/>
          <w:sz w:val="24"/>
          <w:szCs w:val="24"/>
        </w:rPr>
        <w:t xml:space="preserve"> </w:t>
      </w:r>
      <w:r w:rsidRPr="007730C1">
        <w:rPr>
          <w:rFonts w:ascii="Verdana" w:hAnsi="Verdana"/>
          <w:sz w:val="24"/>
          <w:szCs w:val="24"/>
        </w:rPr>
        <w:t>%.</w:t>
      </w:r>
      <w:r w:rsidR="00F426D9">
        <w:rPr>
          <w:rFonts w:ascii="Verdana" w:hAnsi="Verdana"/>
          <w:sz w:val="24"/>
          <w:szCs w:val="24"/>
        </w:rPr>
        <w:t xml:space="preserve"> </w:t>
      </w:r>
      <w:r w:rsidR="00F426D9" w:rsidRPr="00F426D9">
        <w:rPr>
          <w:rFonts w:ascii="Verdana" w:hAnsi="Verdana"/>
          <w:sz w:val="24"/>
          <w:szCs w:val="24"/>
        </w:rPr>
        <w:t>La dieta cubana es cada vez más rica en carbohidratos y pobre en frutas y verduras, debido en parte a las limitaciones económicas y a los subsidios alimentarios. Estos patrones alimentarios se asocian con un aumento de las tasas de obesidad en la población general</w:t>
      </w:r>
      <w:proofErr w:type="gramStart"/>
      <w:r w:rsidR="00F426D9" w:rsidRPr="00F426D9">
        <w:rPr>
          <w:rFonts w:ascii="Verdana" w:hAnsi="Verdana"/>
          <w:sz w:val="24"/>
          <w:szCs w:val="24"/>
        </w:rPr>
        <w:t>.</w:t>
      </w:r>
      <w:r w:rsidR="00946482" w:rsidRPr="00946482">
        <w:rPr>
          <w:rFonts w:ascii="Verdana" w:hAnsi="Verdana"/>
          <w:sz w:val="24"/>
          <w:szCs w:val="24"/>
          <w:vertAlign w:val="superscript"/>
        </w:rPr>
        <w:t>(</w:t>
      </w:r>
      <w:proofErr w:type="gramEnd"/>
      <w:r w:rsidR="00946482" w:rsidRPr="00946482">
        <w:rPr>
          <w:rFonts w:ascii="Verdana" w:hAnsi="Verdana"/>
          <w:sz w:val="24"/>
          <w:szCs w:val="24"/>
          <w:vertAlign w:val="superscript"/>
        </w:rPr>
        <w:t>13)</w:t>
      </w:r>
    </w:p>
    <w:p w14:paraId="615698C3" w14:textId="4A2E23AA" w:rsidR="00F426D9" w:rsidRDefault="00F426D9" w:rsidP="007730C1">
      <w:pPr>
        <w:jc w:val="both"/>
        <w:rPr>
          <w:rFonts w:ascii="Verdana" w:hAnsi="Verdana"/>
          <w:sz w:val="24"/>
          <w:szCs w:val="24"/>
        </w:rPr>
      </w:pPr>
      <w:r>
        <w:rPr>
          <w:rFonts w:ascii="Verdana" w:hAnsi="Verdana"/>
          <w:sz w:val="24"/>
          <w:szCs w:val="24"/>
        </w:rPr>
        <w:t>L</w:t>
      </w:r>
      <w:r w:rsidRPr="00F426D9">
        <w:rPr>
          <w:rFonts w:ascii="Verdana" w:hAnsi="Verdana"/>
          <w:sz w:val="24"/>
          <w:szCs w:val="24"/>
        </w:rPr>
        <w:t xml:space="preserve">a </w:t>
      </w:r>
      <w:r>
        <w:rPr>
          <w:rFonts w:ascii="Verdana" w:hAnsi="Verdana"/>
          <w:sz w:val="24"/>
          <w:szCs w:val="24"/>
        </w:rPr>
        <w:t>glucemia plasmática</w:t>
      </w:r>
      <w:r w:rsidRPr="00F426D9">
        <w:rPr>
          <w:rFonts w:ascii="Verdana" w:hAnsi="Verdana"/>
          <w:sz w:val="24"/>
          <w:szCs w:val="24"/>
        </w:rPr>
        <w:t xml:space="preserve"> de 1 hora tiene un área bajo la curva (AUC) mayor que la de 2 horas para predecir la incidencia de síndrome metabólico y la progresión a diabetes.</w:t>
      </w:r>
      <w:r w:rsidR="00946482" w:rsidRPr="00946482">
        <w:rPr>
          <w:rFonts w:ascii="Verdana" w:hAnsi="Verdana"/>
          <w:sz w:val="24"/>
          <w:szCs w:val="24"/>
          <w:vertAlign w:val="superscript"/>
        </w:rPr>
        <w:t>(14)</w:t>
      </w:r>
      <w:r w:rsidR="00644AE2">
        <w:rPr>
          <w:rFonts w:ascii="Verdana" w:hAnsi="Verdana"/>
          <w:sz w:val="24"/>
          <w:szCs w:val="24"/>
        </w:rPr>
        <w:t xml:space="preserve"> </w:t>
      </w:r>
      <w:r w:rsidR="00644AE2" w:rsidRPr="00644AE2">
        <w:rPr>
          <w:rFonts w:ascii="Verdana" w:hAnsi="Verdana"/>
          <w:sz w:val="24"/>
          <w:szCs w:val="24"/>
        </w:rPr>
        <w:t xml:space="preserve">Este mayor valor predictivo se atribuye al hecho de </w:t>
      </w:r>
      <w:r w:rsidR="00644AE2">
        <w:rPr>
          <w:rFonts w:ascii="Verdana" w:hAnsi="Verdana"/>
          <w:sz w:val="24"/>
          <w:szCs w:val="24"/>
        </w:rPr>
        <w:t>que la glucemia plasmática</w:t>
      </w:r>
      <w:r w:rsidR="00644AE2" w:rsidRPr="00644AE2">
        <w:rPr>
          <w:rFonts w:ascii="Verdana" w:hAnsi="Verdana"/>
          <w:sz w:val="24"/>
          <w:szCs w:val="24"/>
        </w:rPr>
        <w:t xml:space="preserve"> de 1 hora captura la excursión máxima de glucosa, que está más estrechamente asociada con la resistencia a la insulina temprana y la disfunción de las </w:t>
      </w:r>
      <w:r w:rsidR="00644AE2">
        <w:rPr>
          <w:rFonts w:ascii="Verdana" w:hAnsi="Verdana"/>
          <w:sz w:val="24"/>
          <w:szCs w:val="24"/>
        </w:rPr>
        <w:t>células beta, mientras que la glucemia plasmática</w:t>
      </w:r>
      <w:r w:rsidR="00644AE2" w:rsidRPr="00644AE2">
        <w:rPr>
          <w:rFonts w:ascii="Verdana" w:hAnsi="Verdana"/>
          <w:sz w:val="24"/>
          <w:szCs w:val="24"/>
        </w:rPr>
        <w:t xml:space="preserve"> de 2 horas puede pasar por alto a algunos individuos cuyos niveles de glucosa vuelven a la normalidad en ese momento</w:t>
      </w:r>
      <w:r w:rsidR="00644AE2">
        <w:rPr>
          <w:rFonts w:ascii="Verdana" w:hAnsi="Verdana"/>
          <w:sz w:val="24"/>
          <w:szCs w:val="24"/>
        </w:rPr>
        <w:t>,</w:t>
      </w:r>
      <w:r w:rsidR="00644AE2" w:rsidRPr="00644AE2">
        <w:rPr>
          <w:rFonts w:ascii="Verdana" w:hAnsi="Verdana"/>
          <w:sz w:val="24"/>
          <w:szCs w:val="24"/>
        </w:rPr>
        <w:t xml:space="preserve"> pero que aún tienen un riesgo metabólico subyacente.</w:t>
      </w:r>
      <w:r w:rsidR="00946482" w:rsidRPr="00946482">
        <w:rPr>
          <w:rFonts w:ascii="Verdana" w:hAnsi="Verdana"/>
          <w:sz w:val="24"/>
          <w:szCs w:val="24"/>
          <w:vertAlign w:val="superscript"/>
        </w:rPr>
        <w:t>(15)</w:t>
      </w:r>
    </w:p>
    <w:p w14:paraId="6F7CEADF" w14:textId="0C7C0379" w:rsidR="00644AE2" w:rsidRDefault="00644AE2" w:rsidP="007730C1">
      <w:pPr>
        <w:jc w:val="both"/>
        <w:rPr>
          <w:rFonts w:ascii="Verdana" w:hAnsi="Verdana"/>
          <w:sz w:val="24"/>
          <w:szCs w:val="24"/>
        </w:rPr>
      </w:pPr>
      <w:r w:rsidRPr="00644AE2">
        <w:rPr>
          <w:rFonts w:ascii="Verdana" w:hAnsi="Verdana"/>
          <w:sz w:val="24"/>
          <w:szCs w:val="24"/>
        </w:rPr>
        <w:t xml:space="preserve">Además, la </w:t>
      </w:r>
      <w:r w:rsidR="006C14B4">
        <w:rPr>
          <w:rFonts w:ascii="Verdana" w:hAnsi="Verdana"/>
          <w:sz w:val="24"/>
          <w:szCs w:val="24"/>
        </w:rPr>
        <w:t>PT</w:t>
      </w:r>
      <w:r w:rsidRPr="00644AE2">
        <w:rPr>
          <w:rFonts w:ascii="Verdana" w:hAnsi="Verdana"/>
          <w:sz w:val="24"/>
          <w:szCs w:val="24"/>
        </w:rPr>
        <w:t>G de 1 hora presenta una correlación más estrecha con las medidas de obesidad, resistencia a la insulina y otros factores de riesgo metabólico que la PTG de 2 horas. Esto significa que, al utilizar el umbral de 1 hora, se identifica como riesgo a más personas con intoleranci</w:t>
      </w:r>
      <w:r w:rsidR="006C14B4">
        <w:rPr>
          <w:rFonts w:ascii="Verdana" w:hAnsi="Verdana"/>
          <w:sz w:val="24"/>
          <w:szCs w:val="24"/>
        </w:rPr>
        <w:t xml:space="preserve">a a la glucosa temprana o leve, </w:t>
      </w:r>
      <w:r w:rsidRPr="00644AE2">
        <w:rPr>
          <w:rFonts w:ascii="Verdana" w:hAnsi="Verdana"/>
          <w:sz w:val="24"/>
          <w:szCs w:val="24"/>
        </w:rPr>
        <w:t xml:space="preserve">que aún podrían </w:t>
      </w:r>
      <w:r w:rsidR="009D2A65">
        <w:rPr>
          <w:rFonts w:ascii="Verdana" w:hAnsi="Verdana"/>
          <w:sz w:val="24"/>
          <w:szCs w:val="24"/>
        </w:rPr>
        <w:t>presentar valores normales de glucemia plasmática</w:t>
      </w:r>
      <w:r w:rsidRPr="00644AE2">
        <w:rPr>
          <w:rFonts w:ascii="Verdana" w:hAnsi="Verdana"/>
          <w:sz w:val="24"/>
          <w:szCs w:val="24"/>
        </w:rPr>
        <w:t xml:space="preserve"> a las 2 horas</w:t>
      </w:r>
      <w:proofErr w:type="gramStart"/>
      <w:r w:rsidRPr="00644AE2">
        <w:rPr>
          <w:rFonts w:ascii="Verdana" w:hAnsi="Verdana"/>
          <w:sz w:val="24"/>
          <w:szCs w:val="24"/>
        </w:rPr>
        <w:t>.</w:t>
      </w:r>
      <w:r w:rsidR="00946482" w:rsidRPr="00946482">
        <w:rPr>
          <w:rFonts w:ascii="Verdana" w:hAnsi="Verdana"/>
          <w:sz w:val="24"/>
          <w:szCs w:val="24"/>
          <w:vertAlign w:val="superscript"/>
        </w:rPr>
        <w:t>(</w:t>
      </w:r>
      <w:proofErr w:type="gramEnd"/>
      <w:r w:rsidR="00946482" w:rsidRPr="00946482">
        <w:rPr>
          <w:rFonts w:ascii="Verdana" w:hAnsi="Verdana"/>
          <w:sz w:val="24"/>
          <w:szCs w:val="24"/>
          <w:vertAlign w:val="superscript"/>
        </w:rPr>
        <w:t>16)</w:t>
      </w:r>
    </w:p>
    <w:p w14:paraId="5BAFAC06" w14:textId="0C9DFE6B" w:rsidR="006C14B4" w:rsidRDefault="00253B46" w:rsidP="007730C1">
      <w:pPr>
        <w:jc w:val="both"/>
        <w:rPr>
          <w:rFonts w:ascii="Verdana" w:hAnsi="Verdana"/>
          <w:sz w:val="24"/>
          <w:szCs w:val="24"/>
        </w:rPr>
      </w:pPr>
      <w:r w:rsidRPr="00253B46">
        <w:rPr>
          <w:rFonts w:ascii="Verdana" w:hAnsi="Verdana"/>
          <w:sz w:val="24"/>
          <w:szCs w:val="24"/>
        </w:rPr>
        <w:t>A medida que disminuye el control glucémico, se intensifica la resistencia a la insulina. Esto provoca niveles más altos de glucosa en ayunas y una mayor producción hepática de trigli</w:t>
      </w:r>
      <w:r>
        <w:rPr>
          <w:rFonts w:ascii="Verdana" w:hAnsi="Verdana"/>
          <w:sz w:val="24"/>
          <w:szCs w:val="24"/>
        </w:rPr>
        <w:t xml:space="preserve">céridos, ambos componentes del índice </w:t>
      </w:r>
      <w:proofErr w:type="spellStart"/>
      <w:r>
        <w:rPr>
          <w:rFonts w:ascii="Verdana" w:hAnsi="Verdana"/>
          <w:sz w:val="24"/>
          <w:szCs w:val="24"/>
        </w:rPr>
        <w:t>TyG</w:t>
      </w:r>
      <w:proofErr w:type="spellEnd"/>
      <w:r>
        <w:rPr>
          <w:rFonts w:ascii="Verdana" w:hAnsi="Verdana"/>
          <w:sz w:val="24"/>
          <w:szCs w:val="24"/>
        </w:rPr>
        <w:t>. P</w:t>
      </w:r>
      <w:r w:rsidRPr="00253B46">
        <w:rPr>
          <w:rFonts w:ascii="Verdana" w:hAnsi="Verdana"/>
          <w:sz w:val="24"/>
          <w:szCs w:val="24"/>
        </w:rPr>
        <w:t xml:space="preserve">or </w:t>
      </w:r>
      <w:r>
        <w:rPr>
          <w:rFonts w:ascii="Verdana" w:hAnsi="Verdana"/>
          <w:sz w:val="24"/>
          <w:szCs w:val="24"/>
        </w:rPr>
        <w:t xml:space="preserve">este motivo, </w:t>
      </w:r>
      <w:r w:rsidRPr="00253B46">
        <w:rPr>
          <w:rFonts w:ascii="Verdana" w:hAnsi="Verdana"/>
          <w:sz w:val="24"/>
          <w:szCs w:val="24"/>
        </w:rPr>
        <w:t>cualquier aumento de glucosa o triglic</w:t>
      </w:r>
      <w:r w:rsidRPr="00253B46">
        <w:rPr>
          <w:rFonts w:ascii="Verdana" w:hAnsi="Verdana" w:cs="Verdana"/>
          <w:sz w:val="24"/>
          <w:szCs w:val="24"/>
        </w:rPr>
        <w:t>é</w:t>
      </w:r>
      <w:r w:rsidRPr="00253B46">
        <w:rPr>
          <w:rFonts w:ascii="Verdana" w:hAnsi="Verdana"/>
          <w:sz w:val="24"/>
          <w:szCs w:val="24"/>
        </w:rPr>
        <w:t>ridos elevar</w:t>
      </w:r>
      <w:r w:rsidRPr="00253B46">
        <w:rPr>
          <w:rFonts w:ascii="Verdana" w:hAnsi="Verdana" w:cs="Verdana"/>
          <w:sz w:val="24"/>
          <w:szCs w:val="24"/>
        </w:rPr>
        <w:t>á</w:t>
      </w:r>
      <w:r w:rsidRPr="00253B46">
        <w:rPr>
          <w:rFonts w:ascii="Verdana" w:hAnsi="Verdana"/>
          <w:sz w:val="24"/>
          <w:szCs w:val="24"/>
        </w:rPr>
        <w:t xml:space="preserve"> el </w:t>
      </w:r>
      <w:r w:rsidRPr="00253B46">
        <w:rPr>
          <w:rFonts w:ascii="Verdana" w:hAnsi="Verdana" w:cs="Verdana"/>
          <w:sz w:val="24"/>
          <w:szCs w:val="24"/>
        </w:rPr>
        <w:t>í</w:t>
      </w:r>
      <w:r w:rsidRPr="00253B46">
        <w:rPr>
          <w:rFonts w:ascii="Verdana" w:hAnsi="Verdana"/>
          <w:sz w:val="24"/>
          <w:szCs w:val="24"/>
        </w:rPr>
        <w:t>ndice</w:t>
      </w:r>
      <w:proofErr w:type="gramStart"/>
      <w:r w:rsidRPr="00253B46">
        <w:rPr>
          <w:rFonts w:ascii="Verdana" w:hAnsi="Verdana"/>
          <w:sz w:val="24"/>
          <w:szCs w:val="24"/>
        </w:rPr>
        <w:t>.</w:t>
      </w:r>
      <w:r w:rsidR="00946482" w:rsidRPr="00946482">
        <w:rPr>
          <w:rFonts w:ascii="Verdana" w:hAnsi="Verdana"/>
          <w:sz w:val="24"/>
          <w:szCs w:val="24"/>
          <w:vertAlign w:val="superscript"/>
        </w:rPr>
        <w:t>(</w:t>
      </w:r>
      <w:proofErr w:type="gramEnd"/>
      <w:r w:rsidR="00946482" w:rsidRPr="00946482">
        <w:rPr>
          <w:rFonts w:ascii="Verdana" w:hAnsi="Verdana"/>
          <w:sz w:val="24"/>
          <w:szCs w:val="24"/>
          <w:vertAlign w:val="superscript"/>
        </w:rPr>
        <w:t>17,18)</w:t>
      </w:r>
    </w:p>
    <w:p w14:paraId="36D4DF28" w14:textId="110BAF45" w:rsidR="009D2A65" w:rsidRDefault="00253B46" w:rsidP="007730C1">
      <w:pPr>
        <w:jc w:val="both"/>
        <w:rPr>
          <w:rFonts w:ascii="Verdana" w:hAnsi="Verdana"/>
          <w:sz w:val="24"/>
          <w:szCs w:val="24"/>
        </w:rPr>
      </w:pPr>
      <w:r w:rsidRPr="00253B46">
        <w:rPr>
          <w:rFonts w:ascii="Verdana" w:hAnsi="Verdana"/>
          <w:sz w:val="24"/>
          <w:szCs w:val="24"/>
        </w:rPr>
        <w:t xml:space="preserve">El deterioro del estado glucémico se acompaña de un aumento de los triglicéridos y ácidos grasos libres circulantes, lo que contribuye a la </w:t>
      </w:r>
      <w:proofErr w:type="spellStart"/>
      <w:r w:rsidRPr="00253B46">
        <w:rPr>
          <w:rFonts w:ascii="Verdana" w:hAnsi="Verdana"/>
          <w:sz w:val="24"/>
          <w:szCs w:val="24"/>
        </w:rPr>
        <w:t>lipotoxicidad</w:t>
      </w:r>
      <w:proofErr w:type="spellEnd"/>
      <w:r w:rsidRPr="00253B46">
        <w:rPr>
          <w:rFonts w:ascii="Verdana" w:hAnsi="Verdana"/>
          <w:sz w:val="24"/>
          <w:szCs w:val="24"/>
        </w:rPr>
        <w:t xml:space="preserve">. Esto daña las células beta pancreáticas, lo que dificulta </w:t>
      </w:r>
      <w:r w:rsidRPr="00253B46">
        <w:rPr>
          <w:rFonts w:ascii="Verdana" w:hAnsi="Verdana"/>
          <w:sz w:val="24"/>
          <w:szCs w:val="24"/>
        </w:rPr>
        <w:lastRenderedPageBreak/>
        <w:t xml:space="preserve">aún más la secreción de insulina y empeora el metabolismo de la glucosa. Los niveles elevados de glucosa y triglicéridos resultantes se reflejan en los índices </w:t>
      </w:r>
      <w:proofErr w:type="spellStart"/>
      <w:r w:rsidRPr="00253B46">
        <w:rPr>
          <w:rFonts w:ascii="Verdana" w:hAnsi="Verdana"/>
          <w:sz w:val="24"/>
          <w:szCs w:val="24"/>
        </w:rPr>
        <w:t>TyG</w:t>
      </w:r>
      <w:proofErr w:type="spellEnd"/>
      <w:r w:rsidRPr="00253B46">
        <w:rPr>
          <w:rFonts w:ascii="Verdana" w:hAnsi="Verdana"/>
          <w:sz w:val="24"/>
          <w:szCs w:val="24"/>
        </w:rPr>
        <w:t xml:space="preserve"> y </w:t>
      </w:r>
      <w:proofErr w:type="spellStart"/>
      <w:r w:rsidRPr="00253B46">
        <w:rPr>
          <w:rFonts w:ascii="Verdana" w:hAnsi="Verdana"/>
          <w:sz w:val="24"/>
          <w:szCs w:val="24"/>
        </w:rPr>
        <w:t>TyG</w:t>
      </w:r>
      <w:proofErr w:type="spellEnd"/>
      <w:r w:rsidRPr="00253B46">
        <w:rPr>
          <w:rFonts w:ascii="Verdana" w:hAnsi="Verdana"/>
          <w:sz w:val="24"/>
          <w:szCs w:val="24"/>
        </w:rPr>
        <w:t>-IMC</w:t>
      </w:r>
      <w:proofErr w:type="gramStart"/>
      <w:r w:rsidRPr="00253B46">
        <w:rPr>
          <w:rFonts w:ascii="Verdana" w:hAnsi="Verdana"/>
          <w:sz w:val="24"/>
          <w:szCs w:val="24"/>
        </w:rPr>
        <w:t>.</w:t>
      </w:r>
      <w:r w:rsidR="00946482" w:rsidRPr="00946482">
        <w:rPr>
          <w:rFonts w:ascii="Verdana" w:hAnsi="Verdana"/>
          <w:sz w:val="24"/>
          <w:szCs w:val="24"/>
          <w:vertAlign w:val="superscript"/>
        </w:rPr>
        <w:t>(</w:t>
      </w:r>
      <w:proofErr w:type="gramEnd"/>
      <w:r w:rsidR="00946482" w:rsidRPr="00946482">
        <w:rPr>
          <w:rFonts w:ascii="Verdana" w:hAnsi="Verdana"/>
          <w:sz w:val="24"/>
          <w:szCs w:val="24"/>
          <w:vertAlign w:val="superscript"/>
        </w:rPr>
        <w:t>17)</w:t>
      </w:r>
      <w:r w:rsidR="00F44E49">
        <w:rPr>
          <w:rFonts w:ascii="Verdana" w:hAnsi="Verdana"/>
          <w:sz w:val="24"/>
          <w:szCs w:val="24"/>
        </w:rPr>
        <w:t xml:space="preserve"> </w:t>
      </w:r>
    </w:p>
    <w:p w14:paraId="4084512B" w14:textId="399E48A5" w:rsidR="00253B46" w:rsidRDefault="00F44E49" w:rsidP="007730C1">
      <w:pPr>
        <w:jc w:val="both"/>
        <w:rPr>
          <w:rFonts w:ascii="Verdana" w:hAnsi="Verdana"/>
          <w:sz w:val="24"/>
          <w:szCs w:val="24"/>
        </w:rPr>
      </w:pPr>
      <w:r w:rsidRPr="00F44E49">
        <w:rPr>
          <w:rFonts w:ascii="Verdana" w:hAnsi="Verdana"/>
          <w:sz w:val="24"/>
          <w:szCs w:val="24"/>
        </w:rPr>
        <w:t xml:space="preserve">El índice </w:t>
      </w:r>
      <w:proofErr w:type="spellStart"/>
      <w:r w:rsidRPr="00F44E49">
        <w:rPr>
          <w:rFonts w:ascii="Verdana" w:hAnsi="Verdana"/>
          <w:sz w:val="24"/>
          <w:szCs w:val="24"/>
        </w:rPr>
        <w:t>TyG</w:t>
      </w:r>
      <w:proofErr w:type="spellEnd"/>
      <w:r w:rsidRPr="00F44E49">
        <w:rPr>
          <w:rFonts w:ascii="Verdana" w:hAnsi="Verdana"/>
          <w:sz w:val="24"/>
          <w:szCs w:val="24"/>
        </w:rPr>
        <w:t xml:space="preserve">-IMC incorpora el índice de masa corporal (IMC), lo que refleja el impacto adicional de la adiposidad. A medida que empeora el estado glucémico, la obesidad y la acumulación de grasa central suelen aumentar, lo que incrementa la resistencia a la insulina y las anomalías lipídicas, lo que se refleja en valores más elevados de </w:t>
      </w:r>
      <w:proofErr w:type="spellStart"/>
      <w:r w:rsidRPr="00F44E49">
        <w:rPr>
          <w:rFonts w:ascii="Verdana" w:hAnsi="Verdana"/>
          <w:sz w:val="24"/>
          <w:szCs w:val="24"/>
        </w:rPr>
        <w:t>TyG</w:t>
      </w:r>
      <w:proofErr w:type="spellEnd"/>
      <w:r w:rsidRPr="00F44E49">
        <w:rPr>
          <w:rFonts w:ascii="Verdana" w:hAnsi="Verdana"/>
          <w:sz w:val="24"/>
          <w:szCs w:val="24"/>
        </w:rPr>
        <w:t>-IMC</w:t>
      </w:r>
      <w:proofErr w:type="gramStart"/>
      <w:r w:rsidRPr="00F44E49">
        <w:rPr>
          <w:rFonts w:ascii="Verdana" w:hAnsi="Verdana"/>
          <w:sz w:val="24"/>
          <w:szCs w:val="24"/>
        </w:rPr>
        <w:t>.</w:t>
      </w:r>
      <w:r w:rsidR="00946482" w:rsidRPr="00946482">
        <w:rPr>
          <w:rFonts w:ascii="Verdana" w:hAnsi="Verdana"/>
          <w:sz w:val="24"/>
          <w:szCs w:val="24"/>
          <w:vertAlign w:val="superscript"/>
        </w:rPr>
        <w:t>(</w:t>
      </w:r>
      <w:proofErr w:type="gramEnd"/>
      <w:r w:rsidR="00946482" w:rsidRPr="00946482">
        <w:rPr>
          <w:rFonts w:ascii="Verdana" w:hAnsi="Verdana"/>
          <w:sz w:val="24"/>
          <w:szCs w:val="24"/>
          <w:vertAlign w:val="superscript"/>
        </w:rPr>
        <w:t>18)</w:t>
      </w:r>
      <w:r>
        <w:rPr>
          <w:rFonts w:ascii="Verdana" w:hAnsi="Verdana"/>
          <w:sz w:val="24"/>
          <w:szCs w:val="24"/>
        </w:rPr>
        <w:t xml:space="preserve"> </w:t>
      </w:r>
      <w:r w:rsidRPr="00F44E49">
        <w:rPr>
          <w:rFonts w:ascii="Verdana" w:hAnsi="Verdana"/>
          <w:sz w:val="24"/>
          <w:szCs w:val="24"/>
        </w:rPr>
        <w:t xml:space="preserve">Un control glucémico deficiente se asocia con un aumento del estrés oxidativo y la inflamación, lo que agrava la resistencia a la insulina y la dislipidemia. Estas alteraciones metabólicas </w:t>
      </w:r>
      <w:r>
        <w:rPr>
          <w:rFonts w:ascii="Verdana" w:hAnsi="Verdana"/>
          <w:sz w:val="24"/>
          <w:szCs w:val="24"/>
        </w:rPr>
        <w:t xml:space="preserve">también </w:t>
      </w:r>
      <w:r w:rsidRPr="00F44E49">
        <w:rPr>
          <w:rFonts w:ascii="Verdana" w:hAnsi="Verdana"/>
          <w:sz w:val="24"/>
          <w:szCs w:val="24"/>
        </w:rPr>
        <w:t xml:space="preserve">se reflejan en valores elevados de </w:t>
      </w:r>
      <w:proofErr w:type="spellStart"/>
      <w:r w:rsidRPr="00F44E49">
        <w:rPr>
          <w:rFonts w:ascii="Verdana" w:hAnsi="Verdana"/>
          <w:sz w:val="24"/>
          <w:szCs w:val="24"/>
        </w:rPr>
        <w:t>TyG</w:t>
      </w:r>
      <w:proofErr w:type="spellEnd"/>
      <w:r w:rsidRPr="00F44E49">
        <w:rPr>
          <w:rFonts w:ascii="Verdana" w:hAnsi="Verdana"/>
          <w:sz w:val="24"/>
          <w:szCs w:val="24"/>
        </w:rPr>
        <w:t xml:space="preserve"> y de </w:t>
      </w:r>
      <w:proofErr w:type="spellStart"/>
      <w:r w:rsidRPr="00F44E49">
        <w:rPr>
          <w:rFonts w:ascii="Verdana" w:hAnsi="Verdana"/>
          <w:sz w:val="24"/>
          <w:szCs w:val="24"/>
        </w:rPr>
        <w:t>TyG</w:t>
      </w:r>
      <w:proofErr w:type="spellEnd"/>
      <w:r w:rsidRPr="00F44E49">
        <w:rPr>
          <w:rFonts w:ascii="Verdana" w:hAnsi="Verdana"/>
          <w:sz w:val="24"/>
          <w:szCs w:val="24"/>
        </w:rPr>
        <w:t>-IMC.</w:t>
      </w:r>
    </w:p>
    <w:p w14:paraId="7172D270" w14:textId="472A366A" w:rsidR="00F44E49" w:rsidRDefault="001C661C" w:rsidP="007730C1">
      <w:pPr>
        <w:jc w:val="both"/>
        <w:rPr>
          <w:rFonts w:ascii="Verdana" w:hAnsi="Verdana"/>
          <w:sz w:val="24"/>
          <w:szCs w:val="24"/>
        </w:rPr>
      </w:pPr>
      <w:r w:rsidRPr="001C661C">
        <w:rPr>
          <w:rFonts w:ascii="Verdana" w:hAnsi="Verdana"/>
          <w:sz w:val="24"/>
          <w:szCs w:val="24"/>
        </w:rPr>
        <w:t xml:space="preserve">El índice </w:t>
      </w:r>
      <w:proofErr w:type="spellStart"/>
      <w:r w:rsidRPr="001C661C">
        <w:rPr>
          <w:rFonts w:ascii="Verdana" w:hAnsi="Verdana"/>
          <w:sz w:val="24"/>
          <w:szCs w:val="24"/>
        </w:rPr>
        <w:t>TyG</w:t>
      </w:r>
      <w:proofErr w:type="spellEnd"/>
      <w:r w:rsidRPr="001C661C">
        <w:rPr>
          <w:rFonts w:ascii="Verdana" w:hAnsi="Verdana"/>
          <w:sz w:val="24"/>
          <w:szCs w:val="24"/>
        </w:rPr>
        <w:t xml:space="preserve">, como marcador indirecto de la resistencia a la insulina, está ampliamente validado por su capacidad para predecir la diabetes y el riesgo metabólico. Su </w:t>
      </w:r>
      <w:r w:rsidR="009D2A65">
        <w:rPr>
          <w:rFonts w:ascii="Verdana" w:hAnsi="Verdana"/>
          <w:sz w:val="24"/>
          <w:szCs w:val="24"/>
        </w:rPr>
        <w:t>área bajo la curva (</w:t>
      </w:r>
      <w:r w:rsidRPr="001C661C">
        <w:rPr>
          <w:rFonts w:ascii="Verdana" w:hAnsi="Verdana"/>
          <w:sz w:val="24"/>
          <w:szCs w:val="24"/>
        </w:rPr>
        <w:t>AUC</w:t>
      </w:r>
      <w:r w:rsidR="009D2A65">
        <w:rPr>
          <w:rFonts w:ascii="Verdana" w:hAnsi="Verdana"/>
          <w:sz w:val="24"/>
          <w:szCs w:val="24"/>
        </w:rPr>
        <w:t>)</w:t>
      </w:r>
      <w:r w:rsidRPr="001C661C">
        <w:rPr>
          <w:rFonts w:ascii="Verdana" w:hAnsi="Verdana"/>
          <w:sz w:val="24"/>
          <w:szCs w:val="24"/>
        </w:rPr>
        <w:t xml:space="preserve"> suele ser mayor cuando se utiliza para predecir o diagnosticar afecciones definidas por criterios glucémicos estándar, como la glucemia en ayunas o la glucemia </w:t>
      </w:r>
      <w:proofErr w:type="spellStart"/>
      <w:r w:rsidRPr="001C661C">
        <w:rPr>
          <w:rFonts w:ascii="Verdana" w:hAnsi="Verdana"/>
          <w:sz w:val="24"/>
          <w:szCs w:val="24"/>
        </w:rPr>
        <w:t>posprandial</w:t>
      </w:r>
      <w:proofErr w:type="spellEnd"/>
      <w:r w:rsidRPr="001C661C">
        <w:rPr>
          <w:rFonts w:ascii="Verdana" w:hAnsi="Verdana"/>
          <w:sz w:val="24"/>
          <w:szCs w:val="24"/>
        </w:rPr>
        <w:t xml:space="preserve"> a las 2 horas, en lugar de criterios menos comunes o menos específicos, c</w:t>
      </w:r>
      <w:r>
        <w:rPr>
          <w:rFonts w:ascii="Verdana" w:hAnsi="Verdana"/>
          <w:sz w:val="24"/>
          <w:szCs w:val="24"/>
        </w:rPr>
        <w:t xml:space="preserve">omo la glucemia </w:t>
      </w:r>
      <w:proofErr w:type="spellStart"/>
      <w:r>
        <w:rPr>
          <w:rFonts w:ascii="Verdana" w:hAnsi="Verdana"/>
          <w:sz w:val="24"/>
          <w:szCs w:val="24"/>
        </w:rPr>
        <w:t>posprandial</w:t>
      </w:r>
      <w:proofErr w:type="spellEnd"/>
      <w:r>
        <w:rPr>
          <w:rFonts w:ascii="Verdana" w:hAnsi="Verdana"/>
          <w:sz w:val="24"/>
          <w:szCs w:val="24"/>
        </w:rPr>
        <w:t xml:space="preserve"> a</w:t>
      </w:r>
      <w:r w:rsidRPr="001C661C">
        <w:rPr>
          <w:rFonts w:ascii="Verdana" w:hAnsi="Verdana"/>
          <w:sz w:val="24"/>
          <w:szCs w:val="24"/>
        </w:rPr>
        <w:t xml:space="preserve"> 1 hora.</w:t>
      </w:r>
      <w:r w:rsidR="00946482" w:rsidRPr="00946482">
        <w:rPr>
          <w:rFonts w:ascii="Verdana" w:hAnsi="Verdana"/>
          <w:sz w:val="24"/>
          <w:szCs w:val="24"/>
          <w:vertAlign w:val="superscript"/>
        </w:rPr>
        <w:t>(19,20)</w:t>
      </w:r>
      <w:r>
        <w:rPr>
          <w:rFonts w:ascii="Verdana" w:hAnsi="Verdana"/>
          <w:sz w:val="24"/>
          <w:szCs w:val="24"/>
        </w:rPr>
        <w:t xml:space="preserve"> </w:t>
      </w:r>
      <w:r w:rsidRPr="001C661C">
        <w:rPr>
          <w:rFonts w:ascii="Verdana" w:hAnsi="Verdana"/>
          <w:sz w:val="24"/>
          <w:szCs w:val="24"/>
        </w:rPr>
        <w:t xml:space="preserve">La glucemia </w:t>
      </w:r>
      <w:proofErr w:type="spellStart"/>
      <w:r w:rsidRPr="001C661C">
        <w:rPr>
          <w:rFonts w:ascii="Verdana" w:hAnsi="Verdana"/>
          <w:sz w:val="24"/>
          <w:szCs w:val="24"/>
        </w:rPr>
        <w:t>posprandial</w:t>
      </w:r>
      <w:proofErr w:type="spellEnd"/>
      <w:r w:rsidRPr="001C661C">
        <w:rPr>
          <w:rFonts w:ascii="Verdana" w:hAnsi="Verdana"/>
          <w:sz w:val="24"/>
          <w:szCs w:val="24"/>
        </w:rPr>
        <w:t xml:space="preserve"> a las 2 horas es un criterio diagnóstico bien establecido para la prediabetes y la diabetes, que refleja la intolerancia persistente a la glucosa y el deterioro de la función de las células beta. Por el contra</w:t>
      </w:r>
      <w:r w:rsidR="002F27D0">
        <w:rPr>
          <w:rFonts w:ascii="Verdana" w:hAnsi="Verdana"/>
          <w:sz w:val="24"/>
          <w:szCs w:val="24"/>
        </w:rPr>
        <w:t xml:space="preserve">rio, la glucemia </w:t>
      </w:r>
      <w:proofErr w:type="spellStart"/>
      <w:r w:rsidR="002F27D0">
        <w:rPr>
          <w:rFonts w:ascii="Verdana" w:hAnsi="Verdana"/>
          <w:sz w:val="24"/>
          <w:szCs w:val="24"/>
        </w:rPr>
        <w:t>posprandial</w:t>
      </w:r>
      <w:proofErr w:type="spellEnd"/>
      <w:r w:rsidR="002F27D0">
        <w:rPr>
          <w:rFonts w:ascii="Verdana" w:hAnsi="Verdana"/>
          <w:sz w:val="24"/>
          <w:szCs w:val="24"/>
        </w:rPr>
        <w:t xml:space="preserve"> a</w:t>
      </w:r>
      <w:r w:rsidRPr="001C661C">
        <w:rPr>
          <w:rFonts w:ascii="Verdana" w:hAnsi="Verdana"/>
          <w:sz w:val="24"/>
          <w:szCs w:val="24"/>
        </w:rPr>
        <w:t xml:space="preserve"> 1 h detecta fluctuaciones de glucosa más tempranas y transitorias, y puede identificar a un grupo más amplio de personas con riesgo metabólico, pero es menos específica para la </w:t>
      </w:r>
      <w:proofErr w:type="spellStart"/>
      <w:r w:rsidRPr="001C661C">
        <w:rPr>
          <w:rFonts w:ascii="Verdana" w:hAnsi="Verdana"/>
          <w:sz w:val="24"/>
          <w:szCs w:val="24"/>
        </w:rPr>
        <w:t>disglucemia</w:t>
      </w:r>
      <w:proofErr w:type="spellEnd"/>
      <w:r w:rsidRPr="001C661C">
        <w:rPr>
          <w:rFonts w:ascii="Verdana" w:hAnsi="Verdana"/>
          <w:sz w:val="24"/>
          <w:szCs w:val="24"/>
        </w:rPr>
        <w:t xml:space="preserve"> establecida.</w:t>
      </w:r>
    </w:p>
    <w:p w14:paraId="1B71A39A" w14:textId="35F03383" w:rsidR="002F27D0" w:rsidRDefault="002F27D0" w:rsidP="007730C1">
      <w:pPr>
        <w:jc w:val="both"/>
        <w:rPr>
          <w:rFonts w:ascii="Verdana" w:hAnsi="Verdana"/>
          <w:sz w:val="24"/>
          <w:szCs w:val="24"/>
        </w:rPr>
      </w:pPr>
      <w:r w:rsidRPr="002F27D0">
        <w:rPr>
          <w:rFonts w:ascii="Verdana" w:hAnsi="Verdana"/>
          <w:sz w:val="24"/>
          <w:szCs w:val="24"/>
        </w:rPr>
        <w:t xml:space="preserve">El AUC de una prueba diagnóstica se ve influenciado por la definición de la enfermedad. Cuando la </w:t>
      </w:r>
      <w:proofErr w:type="spellStart"/>
      <w:r w:rsidRPr="002F27D0">
        <w:rPr>
          <w:rFonts w:ascii="Verdana" w:hAnsi="Verdana"/>
          <w:sz w:val="24"/>
          <w:szCs w:val="24"/>
        </w:rPr>
        <w:t>disglucemia</w:t>
      </w:r>
      <w:proofErr w:type="spellEnd"/>
      <w:r w:rsidRPr="002F27D0">
        <w:rPr>
          <w:rFonts w:ascii="Verdana" w:hAnsi="Verdana"/>
          <w:sz w:val="24"/>
          <w:szCs w:val="24"/>
        </w:rPr>
        <w:t xml:space="preserve"> se define por el PTG a las 2 h (un criterio más estricto y establecido), los índices </w:t>
      </w:r>
      <w:proofErr w:type="spellStart"/>
      <w:r w:rsidRPr="002F27D0">
        <w:rPr>
          <w:rFonts w:ascii="Verdana" w:hAnsi="Verdana"/>
          <w:sz w:val="24"/>
          <w:szCs w:val="24"/>
        </w:rPr>
        <w:t>TyG</w:t>
      </w:r>
      <w:proofErr w:type="spellEnd"/>
      <w:r w:rsidRPr="002F27D0">
        <w:rPr>
          <w:rFonts w:ascii="Verdana" w:hAnsi="Verdana"/>
          <w:sz w:val="24"/>
          <w:szCs w:val="24"/>
        </w:rPr>
        <w:t xml:space="preserve"> y </w:t>
      </w:r>
      <w:proofErr w:type="spellStart"/>
      <w:r w:rsidRPr="002F27D0">
        <w:rPr>
          <w:rFonts w:ascii="Verdana" w:hAnsi="Verdana"/>
          <w:sz w:val="24"/>
          <w:szCs w:val="24"/>
        </w:rPr>
        <w:t>TyG</w:t>
      </w:r>
      <w:proofErr w:type="spellEnd"/>
      <w:r w:rsidRPr="002F27D0">
        <w:rPr>
          <w:rFonts w:ascii="Verdana" w:hAnsi="Verdana"/>
          <w:sz w:val="24"/>
          <w:szCs w:val="24"/>
        </w:rPr>
        <w:t xml:space="preserve">-IMC tienen mayor probabilidad de correlacionarse fuertemente con una disfunción metabólica real, lo que resulta en un AUC más alto. Por el contrario, cuando la </w:t>
      </w:r>
      <w:proofErr w:type="spellStart"/>
      <w:r w:rsidRPr="002F27D0">
        <w:rPr>
          <w:rFonts w:ascii="Verdana" w:hAnsi="Verdana"/>
          <w:sz w:val="24"/>
          <w:szCs w:val="24"/>
        </w:rPr>
        <w:t>disglucemia</w:t>
      </w:r>
      <w:proofErr w:type="spellEnd"/>
      <w:r w:rsidRPr="002F27D0">
        <w:rPr>
          <w:rFonts w:ascii="Verdana" w:hAnsi="Verdana"/>
          <w:sz w:val="24"/>
          <w:szCs w:val="24"/>
        </w:rPr>
        <w:t xml:space="preserve"> se define por el PTG a la 1 h, el grupo incluye más individuos con anomalías metabólicas leves o tempranas, lo que puede diluir la asociación y reducir el AUC.</w:t>
      </w:r>
      <w:r w:rsidR="00946482" w:rsidRPr="00946482">
        <w:rPr>
          <w:rFonts w:ascii="Verdana" w:hAnsi="Verdana"/>
          <w:sz w:val="24"/>
          <w:szCs w:val="24"/>
          <w:vertAlign w:val="superscript"/>
        </w:rPr>
        <w:t>(21)</w:t>
      </w:r>
      <w:r>
        <w:rPr>
          <w:rFonts w:ascii="Verdana" w:hAnsi="Verdana"/>
          <w:sz w:val="24"/>
          <w:szCs w:val="24"/>
        </w:rPr>
        <w:t xml:space="preserve"> </w:t>
      </w:r>
      <w:r w:rsidRPr="002F27D0">
        <w:rPr>
          <w:rFonts w:ascii="Verdana" w:hAnsi="Verdana"/>
          <w:sz w:val="24"/>
          <w:szCs w:val="24"/>
        </w:rPr>
        <w:t xml:space="preserve">Tanto los índices </w:t>
      </w:r>
      <w:proofErr w:type="spellStart"/>
      <w:r w:rsidRPr="002F27D0">
        <w:rPr>
          <w:rFonts w:ascii="Verdana" w:hAnsi="Verdana"/>
          <w:sz w:val="24"/>
          <w:szCs w:val="24"/>
        </w:rPr>
        <w:t>TyG</w:t>
      </w:r>
      <w:proofErr w:type="spellEnd"/>
      <w:r w:rsidRPr="002F27D0">
        <w:rPr>
          <w:rFonts w:ascii="Verdana" w:hAnsi="Verdana"/>
          <w:sz w:val="24"/>
          <w:szCs w:val="24"/>
        </w:rPr>
        <w:t xml:space="preserve"> como </w:t>
      </w:r>
      <w:proofErr w:type="spellStart"/>
      <w:r w:rsidRPr="002F27D0">
        <w:rPr>
          <w:rFonts w:ascii="Verdana" w:hAnsi="Verdana"/>
          <w:sz w:val="24"/>
          <w:szCs w:val="24"/>
        </w:rPr>
        <w:t>TyG</w:t>
      </w:r>
      <w:proofErr w:type="spellEnd"/>
      <w:r w:rsidRPr="002F27D0">
        <w:rPr>
          <w:rFonts w:ascii="Verdana" w:hAnsi="Verdana"/>
          <w:sz w:val="24"/>
          <w:szCs w:val="24"/>
        </w:rPr>
        <w:t xml:space="preserve">-IMC están estrechamente relacionados con la resistencia a la insulina y el metabolismo lipídico, que se asocian más fuertemente con la intolerancia a la glucosa persistente (PTG a las 2 h) que con la transitoria (PTG a la 1 h). Esta justificación biológica respalda el AUC </w:t>
      </w:r>
      <w:r w:rsidRPr="002F27D0">
        <w:rPr>
          <w:rFonts w:ascii="Verdana" w:hAnsi="Verdana"/>
          <w:sz w:val="24"/>
          <w:szCs w:val="24"/>
        </w:rPr>
        <w:lastRenderedPageBreak/>
        <w:t xml:space="preserve">más alto para estos índices cuando la </w:t>
      </w:r>
      <w:proofErr w:type="spellStart"/>
      <w:r w:rsidRPr="002F27D0">
        <w:rPr>
          <w:rFonts w:ascii="Verdana" w:hAnsi="Verdana"/>
          <w:sz w:val="24"/>
          <w:szCs w:val="24"/>
        </w:rPr>
        <w:t>disglucemia</w:t>
      </w:r>
      <w:proofErr w:type="spellEnd"/>
      <w:r w:rsidRPr="002F27D0">
        <w:rPr>
          <w:rFonts w:ascii="Verdana" w:hAnsi="Verdana"/>
          <w:sz w:val="24"/>
          <w:szCs w:val="24"/>
        </w:rPr>
        <w:t xml:space="preserve"> se define por el PTG a las 2 h</w:t>
      </w:r>
      <w:proofErr w:type="gramStart"/>
      <w:r w:rsidRPr="002F27D0">
        <w:rPr>
          <w:rFonts w:ascii="Verdana" w:hAnsi="Verdana"/>
          <w:sz w:val="24"/>
          <w:szCs w:val="24"/>
        </w:rPr>
        <w:t>.</w:t>
      </w:r>
      <w:r w:rsidR="00946482" w:rsidRPr="00946482">
        <w:rPr>
          <w:rFonts w:ascii="Verdana" w:hAnsi="Verdana"/>
          <w:sz w:val="24"/>
          <w:szCs w:val="24"/>
          <w:vertAlign w:val="superscript"/>
        </w:rPr>
        <w:t>(</w:t>
      </w:r>
      <w:proofErr w:type="gramEnd"/>
      <w:r w:rsidR="00946482" w:rsidRPr="00946482">
        <w:rPr>
          <w:rFonts w:ascii="Verdana" w:hAnsi="Verdana"/>
          <w:sz w:val="24"/>
          <w:szCs w:val="24"/>
          <w:vertAlign w:val="superscript"/>
        </w:rPr>
        <w:t>19)</w:t>
      </w:r>
    </w:p>
    <w:p w14:paraId="273E8B28" w14:textId="3B931DA4" w:rsidR="00025FC1" w:rsidRDefault="00E21193" w:rsidP="00025FC1">
      <w:pPr>
        <w:spacing w:line="240" w:lineRule="auto"/>
        <w:jc w:val="both"/>
        <w:rPr>
          <w:rFonts w:ascii="Verdana" w:hAnsi="Verdana"/>
          <w:b/>
          <w:bCs/>
          <w:sz w:val="24"/>
          <w:szCs w:val="24"/>
        </w:rPr>
      </w:pPr>
      <w:r w:rsidRPr="00E21193">
        <w:rPr>
          <w:rFonts w:ascii="Verdana" w:hAnsi="Verdana"/>
          <w:b/>
          <w:bCs/>
          <w:sz w:val="24"/>
          <w:szCs w:val="24"/>
        </w:rPr>
        <w:t>CONCLUSIONES</w:t>
      </w:r>
    </w:p>
    <w:p w14:paraId="2A521BFD" w14:textId="1D948EDF" w:rsidR="000529C3" w:rsidRDefault="000529C3" w:rsidP="00025FC1">
      <w:pPr>
        <w:spacing w:line="240" w:lineRule="auto"/>
        <w:jc w:val="both"/>
        <w:rPr>
          <w:rFonts w:ascii="Verdana" w:hAnsi="Verdana"/>
          <w:sz w:val="24"/>
          <w:szCs w:val="24"/>
        </w:rPr>
      </w:pPr>
      <w:r w:rsidRPr="000529C3">
        <w:rPr>
          <w:rFonts w:ascii="Verdana" w:hAnsi="Verdana"/>
          <w:sz w:val="24"/>
          <w:szCs w:val="24"/>
        </w:rPr>
        <w:t xml:space="preserve">La precisión diagnóstica de </w:t>
      </w:r>
      <w:proofErr w:type="spellStart"/>
      <w:r w:rsidRPr="000529C3">
        <w:rPr>
          <w:rFonts w:ascii="Verdana" w:hAnsi="Verdana"/>
          <w:sz w:val="24"/>
          <w:szCs w:val="24"/>
        </w:rPr>
        <w:t>TyG</w:t>
      </w:r>
      <w:proofErr w:type="spellEnd"/>
      <w:r w:rsidRPr="000529C3">
        <w:rPr>
          <w:rFonts w:ascii="Verdana" w:hAnsi="Verdana"/>
          <w:sz w:val="24"/>
          <w:szCs w:val="24"/>
        </w:rPr>
        <w:t xml:space="preserve"> y </w:t>
      </w:r>
      <w:proofErr w:type="spellStart"/>
      <w:r w:rsidRPr="000529C3">
        <w:rPr>
          <w:rFonts w:ascii="Verdana" w:hAnsi="Verdana"/>
          <w:sz w:val="24"/>
          <w:szCs w:val="24"/>
        </w:rPr>
        <w:t>TyG</w:t>
      </w:r>
      <w:proofErr w:type="spellEnd"/>
      <w:r w:rsidRPr="000529C3">
        <w:rPr>
          <w:rFonts w:ascii="Verdana" w:hAnsi="Verdana"/>
          <w:sz w:val="24"/>
          <w:szCs w:val="24"/>
        </w:rPr>
        <w:t>-IMC</w:t>
      </w:r>
      <w:r w:rsidR="00AB671E">
        <w:rPr>
          <w:rFonts w:ascii="Verdana" w:hAnsi="Verdana"/>
          <w:sz w:val="24"/>
          <w:szCs w:val="24"/>
        </w:rPr>
        <w:t xml:space="preserve"> para identificar individuos con </w:t>
      </w:r>
      <w:proofErr w:type="spellStart"/>
      <w:r w:rsidR="00AB671E">
        <w:rPr>
          <w:rFonts w:ascii="Verdana" w:hAnsi="Verdana"/>
          <w:sz w:val="24"/>
          <w:szCs w:val="24"/>
        </w:rPr>
        <w:t>disglucemia</w:t>
      </w:r>
      <w:proofErr w:type="spellEnd"/>
      <w:r w:rsidRPr="000529C3">
        <w:rPr>
          <w:rFonts w:ascii="Verdana" w:hAnsi="Verdana"/>
          <w:sz w:val="24"/>
          <w:szCs w:val="24"/>
        </w:rPr>
        <w:t xml:space="preserve"> es mayor cuando se utiliza el criterio de glucosa a las 2 horas, pero la prueba de 1 hora sigue siendo valiosa para la detección temprana.</w:t>
      </w:r>
      <w:r w:rsidR="009B10AD">
        <w:rPr>
          <w:rFonts w:ascii="Verdana" w:hAnsi="Verdana"/>
          <w:sz w:val="24"/>
          <w:szCs w:val="24"/>
        </w:rPr>
        <w:t xml:space="preserve"> </w:t>
      </w:r>
      <w:r w:rsidR="009B10AD" w:rsidRPr="009B10AD">
        <w:rPr>
          <w:rFonts w:ascii="Verdana" w:hAnsi="Verdana"/>
          <w:sz w:val="24"/>
          <w:szCs w:val="24"/>
        </w:rPr>
        <w:t xml:space="preserve">El </w:t>
      </w:r>
      <w:r w:rsidR="00AB671E">
        <w:rPr>
          <w:rFonts w:ascii="Verdana" w:hAnsi="Verdana"/>
          <w:sz w:val="24"/>
          <w:szCs w:val="24"/>
        </w:rPr>
        <w:t xml:space="preserve">área bajo la curva mayor </w:t>
      </w:r>
      <w:r w:rsidR="009B10AD" w:rsidRPr="009B10AD">
        <w:rPr>
          <w:rFonts w:ascii="Verdana" w:hAnsi="Verdana"/>
          <w:sz w:val="24"/>
          <w:szCs w:val="24"/>
        </w:rPr>
        <w:t xml:space="preserve">cuando la </w:t>
      </w:r>
      <w:proofErr w:type="spellStart"/>
      <w:r w:rsidR="009B10AD" w:rsidRPr="009B10AD">
        <w:rPr>
          <w:rFonts w:ascii="Verdana" w:hAnsi="Verdana"/>
          <w:sz w:val="24"/>
          <w:szCs w:val="24"/>
        </w:rPr>
        <w:t>disglucemia</w:t>
      </w:r>
      <w:proofErr w:type="spellEnd"/>
      <w:r w:rsidR="009B10AD" w:rsidRPr="009B10AD">
        <w:rPr>
          <w:rFonts w:ascii="Verdana" w:hAnsi="Verdana"/>
          <w:sz w:val="24"/>
          <w:szCs w:val="24"/>
        </w:rPr>
        <w:t xml:space="preserve"> se define por la glucosa a las 2 horas indica asociación con una disfunción metabólica establecida.</w:t>
      </w:r>
    </w:p>
    <w:p w14:paraId="7525DBE1" w14:textId="77777777" w:rsidR="000529C3" w:rsidRPr="000D0368" w:rsidRDefault="000529C3" w:rsidP="00025FC1">
      <w:pPr>
        <w:spacing w:line="240" w:lineRule="auto"/>
        <w:jc w:val="both"/>
        <w:rPr>
          <w:rFonts w:ascii="Verdana" w:hAnsi="Verdana"/>
          <w:sz w:val="24"/>
          <w:szCs w:val="24"/>
        </w:rPr>
      </w:pPr>
    </w:p>
    <w:p w14:paraId="7F781949" w14:textId="77777777" w:rsidR="00501EA1" w:rsidRDefault="00E21193" w:rsidP="00025FC1">
      <w:pPr>
        <w:spacing w:line="240" w:lineRule="auto"/>
        <w:jc w:val="both"/>
        <w:rPr>
          <w:rFonts w:ascii="Verdana" w:hAnsi="Verdana"/>
          <w:b/>
          <w:bCs/>
          <w:sz w:val="24"/>
          <w:szCs w:val="24"/>
        </w:rPr>
      </w:pPr>
      <w:r w:rsidRPr="00E21193">
        <w:rPr>
          <w:rFonts w:ascii="Verdana" w:hAnsi="Verdana"/>
          <w:b/>
          <w:bCs/>
          <w:sz w:val="24"/>
          <w:szCs w:val="24"/>
        </w:rPr>
        <w:t>REFERENCIAS BIBLIOGRÁFICAS</w:t>
      </w:r>
    </w:p>
    <w:p w14:paraId="7BCFF166" w14:textId="77777777" w:rsidR="00AB671E" w:rsidRPr="00AB671E" w:rsidRDefault="00AB671E" w:rsidP="00AB671E">
      <w:pPr>
        <w:spacing w:line="240" w:lineRule="auto"/>
        <w:jc w:val="both"/>
        <w:rPr>
          <w:rFonts w:ascii="Verdana" w:hAnsi="Verdana"/>
          <w:bCs/>
          <w:sz w:val="24"/>
          <w:szCs w:val="24"/>
          <w:lang w:val="es-ES"/>
        </w:rPr>
      </w:pPr>
      <w:r w:rsidRPr="00AB671E">
        <w:rPr>
          <w:rFonts w:ascii="Verdana" w:hAnsi="Verdana"/>
          <w:bCs/>
          <w:sz w:val="24"/>
          <w:szCs w:val="24"/>
          <w:lang w:val="es-ES"/>
        </w:rPr>
        <w:t>1.</w:t>
      </w:r>
      <w:r w:rsidRPr="00AB671E">
        <w:rPr>
          <w:rFonts w:ascii="Verdana" w:hAnsi="Verdana"/>
          <w:bCs/>
          <w:sz w:val="24"/>
          <w:szCs w:val="24"/>
          <w:lang w:val="es-ES"/>
        </w:rPr>
        <w:tab/>
        <w:t xml:space="preserve">Vidal-Ostos De Lara F, Arne A, José Alfredo Martínez H, Francisco José S-M, José Luis Martínez G, María Julia Álvarez H. El índice </w:t>
      </w:r>
      <w:proofErr w:type="spellStart"/>
      <w:r w:rsidRPr="00AB671E">
        <w:rPr>
          <w:rFonts w:ascii="Verdana" w:hAnsi="Verdana"/>
          <w:bCs/>
          <w:sz w:val="24"/>
          <w:szCs w:val="24"/>
          <w:lang w:val="es-ES"/>
        </w:rPr>
        <w:t>trigliceridos</w:t>
      </w:r>
      <w:proofErr w:type="spellEnd"/>
      <w:r w:rsidRPr="00AB671E">
        <w:rPr>
          <w:rFonts w:ascii="Verdana" w:hAnsi="Verdana"/>
          <w:bCs/>
          <w:sz w:val="24"/>
          <w:szCs w:val="24"/>
          <w:lang w:val="es-ES"/>
        </w:rPr>
        <w:t xml:space="preserve">-glucosa: marcador de </w:t>
      </w:r>
      <w:proofErr w:type="spellStart"/>
      <w:r w:rsidRPr="00AB671E">
        <w:rPr>
          <w:rFonts w:ascii="Verdana" w:hAnsi="Verdana"/>
          <w:bCs/>
          <w:sz w:val="24"/>
          <w:szCs w:val="24"/>
          <w:lang w:val="es-ES"/>
        </w:rPr>
        <w:t>insulino</w:t>
      </w:r>
      <w:proofErr w:type="spellEnd"/>
      <w:r w:rsidRPr="00AB671E">
        <w:rPr>
          <w:rFonts w:ascii="Verdana" w:hAnsi="Verdana"/>
          <w:bCs/>
          <w:sz w:val="24"/>
          <w:szCs w:val="24"/>
          <w:lang w:val="es-ES"/>
        </w:rPr>
        <w:t xml:space="preserve"> resistencia, adiposidad y predictor </w:t>
      </w:r>
      <w:proofErr w:type="spellStart"/>
      <w:r w:rsidRPr="00AB671E">
        <w:rPr>
          <w:rFonts w:ascii="Verdana" w:hAnsi="Verdana"/>
          <w:bCs/>
          <w:sz w:val="24"/>
          <w:szCs w:val="24"/>
          <w:lang w:val="es-ES"/>
        </w:rPr>
        <w:t>metabolico-prandrial</w:t>
      </w:r>
      <w:proofErr w:type="spellEnd"/>
      <w:r w:rsidRPr="00AB671E">
        <w:rPr>
          <w:rFonts w:ascii="Verdana" w:hAnsi="Verdana"/>
          <w:bCs/>
          <w:sz w:val="24"/>
          <w:szCs w:val="24"/>
          <w:lang w:val="es-ES"/>
        </w:rPr>
        <w:t xml:space="preserve"> en programas dietéticos de control del peso: UNED. Universidad Nacional de Educación a Distancia; 2023</w:t>
      </w:r>
    </w:p>
    <w:p w14:paraId="736CC2B3" w14:textId="77777777" w:rsidR="00AB671E" w:rsidRPr="00AB671E" w:rsidRDefault="00AB671E" w:rsidP="00AB671E">
      <w:pPr>
        <w:spacing w:line="240" w:lineRule="auto"/>
        <w:jc w:val="both"/>
        <w:rPr>
          <w:rFonts w:ascii="Verdana" w:hAnsi="Verdana"/>
          <w:bCs/>
          <w:sz w:val="24"/>
          <w:szCs w:val="24"/>
          <w:lang w:val="es-ES"/>
        </w:rPr>
      </w:pPr>
      <w:r w:rsidRPr="00AB671E">
        <w:rPr>
          <w:rFonts w:ascii="Verdana" w:hAnsi="Verdana"/>
          <w:bCs/>
          <w:sz w:val="24"/>
          <w:szCs w:val="24"/>
          <w:lang w:val="es-ES"/>
        </w:rPr>
        <w:t>2.</w:t>
      </w:r>
      <w:r w:rsidRPr="00AB671E">
        <w:rPr>
          <w:rFonts w:ascii="Verdana" w:hAnsi="Verdana"/>
          <w:bCs/>
          <w:sz w:val="24"/>
          <w:szCs w:val="24"/>
          <w:lang w:val="es-ES"/>
        </w:rPr>
        <w:tab/>
      </w:r>
      <w:proofErr w:type="spellStart"/>
      <w:r w:rsidRPr="00AB671E">
        <w:rPr>
          <w:rFonts w:ascii="Verdana" w:hAnsi="Verdana"/>
          <w:bCs/>
          <w:sz w:val="24"/>
          <w:szCs w:val="24"/>
          <w:lang w:val="es-ES"/>
        </w:rPr>
        <w:t>Coniglio</w:t>
      </w:r>
      <w:proofErr w:type="spellEnd"/>
      <w:r w:rsidRPr="00AB671E">
        <w:rPr>
          <w:rFonts w:ascii="Verdana" w:hAnsi="Verdana"/>
          <w:bCs/>
          <w:sz w:val="24"/>
          <w:szCs w:val="24"/>
          <w:lang w:val="es-ES"/>
        </w:rPr>
        <w:t xml:space="preserve"> RI, Vásquez LA, </w:t>
      </w:r>
      <w:proofErr w:type="spellStart"/>
      <w:r w:rsidRPr="00AB671E">
        <w:rPr>
          <w:rFonts w:ascii="Verdana" w:hAnsi="Verdana"/>
          <w:bCs/>
          <w:sz w:val="24"/>
          <w:szCs w:val="24"/>
          <w:lang w:val="es-ES"/>
        </w:rPr>
        <w:t>Ferraris</w:t>
      </w:r>
      <w:proofErr w:type="spellEnd"/>
      <w:r w:rsidRPr="00AB671E">
        <w:rPr>
          <w:rFonts w:ascii="Verdana" w:hAnsi="Verdana"/>
          <w:bCs/>
          <w:sz w:val="24"/>
          <w:szCs w:val="24"/>
          <w:lang w:val="es-ES"/>
        </w:rPr>
        <w:t xml:space="preserve"> R, </w:t>
      </w:r>
      <w:proofErr w:type="spellStart"/>
      <w:r w:rsidRPr="00AB671E">
        <w:rPr>
          <w:rFonts w:ascii="Verdana" w:hAnsi="Verdana"/>
          <w:bCs/>
          <w:sz w:val="24"/>
          <w:szCs w:val="24"/>
          <w:lang w:val="es-ES"/>
        </w:rPr>
        <w:t>Salgueiro</w:t>
      </w:r>
      <w:proofErr w:type="spellEnd"/>
      <w:r w:rsidRPr="00AB671E">
        <w:rPr>
          <w:rFonts w:ascii="Verdana" w:hAnsi="Verdana"/>
          <w:bCs/>
          <w:sz w:val="24"/>
          <w:szCs w:val="24"/>
          <w:lang w:val="es-ES"/>
        </w:rPr>
        <w:t xml:space="preserve"> AM, Otero JC, Malaspina MM, et al. Índices triglicéridos-glucosa como estimadores de </w:t>
      </w:r>
      <w:proofErr w:type="spellStart"/>
      <w:r w:rsidRPr="00AB671E">
        <w:rPr>
          <w:rFonts w:ascii="Verdana" w:hAnsi="Verdana"/>
          <w:bCs/>
          <w:sz w:val="24"/>
          <w:szCs w:val="24"/>
          <w:lang w:val="es-ES"/>
        </w:rPr>
        <w:t>insulinorresistencia</w:t>
      </w:r>
      <w:proofErr w:type="spellEnd"/>
      <w:r w:rsidRPr="00AB671E">
        <w:rPr>
          <w:rFonts w:ascii="Verdana" w:hAnsi="Verdana"/>
          <w:bCs/>
          <w:sz w:val="24"/>
          <w:szCs w:val="24"/>
          <w:lang w:val="es-ES"/>
        </w:rPr>
        <w:t xml:space="preserve"> en personas con riesgo de desarrollar diabetes tipo 2. Acta bioquímica clínica [Internet]. 2020 [citado 27/06/2025]; 54(3):p257-66. Disponible en: </w:t>
      </w:r>
      <w:hyperlink r:id="rId14" w:history="1">
        <w:r w:rsidRPr="00AB671E">
          <w:rPr>
            <w:rStyle w:val="Hipervnculo"/>
            <w:rFonts w:ascii="Verdana" w:hAnsi="Verdana"/>
            <w:bCs/>
            <w:sz w:val="24"/>
            <w:szCs w:val="24"/>
            <w:lang w:val="es-ES"/>
          </w:rPr>
          <w:t>https://www.scielo.org.ar/pdf/abcl/v54n3/v54n3a02.pdf</w:t>
        </w:r>
      </w:hyperlink>
      <w:r w:rsidRPr="00AB671E">
        <w:rPr>
          <w:rFonts w:ascii="Verdana" w:hAnsi="Verdana"/>
          <w:bCs/>
          <w:sz w:val="24"/>
          <w:szCs w:val="24"/>
          <w:lang w:val="es-ES"/>
        </w:rPr>
        <w:t xml:space="preserve"> </w:t>
      </w:r>
    </w:p>
    <w:p w14:paraId="2E76358E" w14:textId="4BA72995" w:rsidR="00AB671E" w:rsidRPr="00AB671E" w:rsidRDefault="00AB671E" w:rsidP="00AB671E">
      <w:pPr>
        <w:spacing w:line="240" w:lineRule="auto"/>
        <w:jc w:val="both"/>
        <w:rPr>
          <w:rFonts w:ascii="Verdana" w:hAnsi="Verdana"/>
          <w:bCs/>
          <w:sz w:val="24"/>
          <w:szCs w:val="24"/>
          <w:lang w:val="es-ES"/>
        </w:rPr>
      </w:pPr>
      <w:r w:rsidRPr="00AB671E">
        <w:rPr>
          <w:rFonts w:ascii="Verdana" w:hAnsi="Verdana"/>
          <w:bCs/>
          <w:sz w:val="24"/>
          <w:szCs w:val="24"/>
          <w:lang w:val="es-ES"/>
        </w:rPr>
        <w:t>3.</w:t>
      </w:r>
      <w:r w:rsidRPr="00AB671E">
        <w:rPr>
          <w:rFonts w:ascii="Verdana" w:hAnsi="Verdana"/>
          <w:bCs/>
          <w:sz w:val="24"/>
          <w:szCs w:val="24"/>
          <w:lang w:val="es-ES"/>
        </w:rPr>
        <w:tab/>
        <w:t>Cabezas-Cerrato J, Araujo D. Resistencia a la acción de la insulina. Evolución histórica del concepto. Técnicas para el estudio in vivo en humanos. Endocrinología y Nutrición [Internet]. 2003 [citado 27/06/2025]; 50(12):</w:t>
      </w:r>
      <w:r w:rsidR="00565DF2">
        <w:rPr>
          <w:rFonts w:ascii="Verdana" w:hAnsi="Verdana"/>
          <w:bCs/>
          <w:sz w:val="24"/>
          <w:szCs w:val="24"/>
          <w:lang w:val="es-ES"/>
        </w:rPr>
        <w:t xml:space="preserve"> </w:t>
      </w:r>
      <w:r w:rsidRPr="00AB671E">
        <w:rPr>
          <w:rFonts w:ascii="Verdana" w:hAnsi="Verdana"/>
          <w:bCs/>
          <w:sz w:val="24"/>
          <w:szCs w:val="24"/>
          <w:lang w:val="es-ES"/>
        </w:rPr>
        <w:t xml:space="preserve">p396-406. Disponible en: </w:t>
      </w:r>
      <w:hyperlink r:id="rId15" w:history="1">
        <w:r w:rsidRPr="00AB671E">
          <w:rPr>
            <w:rStyle w:val="Hipervnculo"/>
            <w:rFonts w:ascii="Verdana" w:hAnsi="Verdana"/>
            <w:bCs/>
            <w:sz w:val="24"/>
            <w:szCs w:val="24"/>
            <w:lang w:val="es-ES"/>
          </w:rPr>
          <w:t>https://www.elsevier.es/es</w:t>
        </w:r>
      </w:hyperlink>
      <w:r w:rsidRPr="00AB671E">
        <w:rPr>
          <w:rFonts w:ascii="Verdana" w:hAnsi="Verdana"/>
          <w:bCs/>
          <w:sz w:val="24"/>
          <w:szCs w:val="24"/>
          <w:lang w:val="es-ES"/>
        </w:rPr>
        <w:t xml:space="preserve"> </w:t>
      </w:r>
    </w:p>
    <w:p w14:paraId="07F14B0D" w14:textId="77777777" w:rsidR="00AB671E" w:rsidRPr="00AB671E" w:rsidRDefault="00AB671E" w:rsidP="00AB671E">
      <w:pPr>
        <w:spacing w:line="240" w:lineRule="auto"/>
        <w:jc w:val="both"/>
        <w:rPr>
          <w:rFonts w:ascii="Verdana" w:hAnsi="Verdana"/>
          <w:bCs/>
          <w:sz w:val="24"/>
          <w:szCs w:val="24"/>
          <w:lang w:val="es-ES"/>
        </w:rPr>
      </w:pPr>
      <w:r w:rsidRPr="00AB671E">
        <w:rPr>
          <w:rFonts w:ascii="Verdana" w:hAnsi="Verdana"/>
          <w:bCs/>
          <w:sz w:val="24"/>
          <w:szCs w:val="24"/>
          <w:lang w:val="es-ES"/>
        </w:rPr>
        <w:t>4.</w:t>
      </w:r>
      <w:r w:rsidRPr="00AB671E">
        <w:rPr>
          <w:rFonts w:ascii="Verdana" w:hAnsi="Verdana"/>
          <w:bCs/>
          <w:sz w:val="24"/>
          <w:szCs w:val="24"/>
          <w:lang w:val="es-ES"/>
        </w:rPr>
        <w:tab/>
        <w:t xml:space="preserve">Almeda-Valdés P, Bello-Chavolla OY, Caballeros-Barragán CR, Gómez-Velasco DV, Viveros-Ruiz T, Vargas-Vázquez A, et al. Índices para la evaluación de la resistencia a la insulina en individuos mexicanos sin diabetes. </w:t>
      </w:r>
      <w:proofErr w:type="spellStart"/>
      <w:r w:rsidRPr="00AB671E">
        <w:rPr>
          <w:rFonts w:ascii="Verdana" w:hAnsi="Verdana"/>
          <w:bCs/>
          <w:sz w:val="24"/>
          <w:szCs w:val="24"/>
          <w:lang w:val="es-ES"/>
        </w:rPr>
        <w:t>Gac</w:t>
      </w:r>
      <w:proofErr w:type="spellEnd"/>
      <w:r w:rsidRPr="00AB671E">
        <w:rPr>
          <w:rFonts w:ascii="Verdana" w:hAnsi="Verdana"/>
          <w:bCs/>
          <w:sz w:val="24"/>
          <w:szCs w:val="24"/>
          <w:lang w:val="es-ES"/>
        </w:rPr>
        <w:t xml:space="preserve"> </w:t>
      </w:r>
      <w:proofErr w:type="spellStart"/>
      <w:r w:rsidRPr="00AB671E">
        <w:rPr>
          <w:rFonts w:ascii="Verdana" w:hAnsi="Verdana"/>
          <w:bCs/>
          <w:sz w:val="24"/>
          <w:szCs w:val="24"/>
          <w:lang w:val="es-ES"/>
        </w:rPr>
        <w:t>Med</w:t>
      </w:r>
      <w:proofErr w:type="spellEnd"/>
      <w:r w:rsidRPr="00AB671E">
        <w:rPr>
          <w:rFonts w:ascii="Verdana" w:hAnsi="Verdana"/>
          <w:bCs/>
          <w:sz w:val="24"/>
          <w:szCs w:val="24"/>
          <w:lang w:val="es-ES"/>
        </w:rPr>
        <w:t xml:space="preserve"> </w:t>
      </w:r>
      <w:proofErr w:type="spellStart"/>
      <w:r w:rsidRPr="00AB671E">
        <w:rPr>
          <w:rFonts w:ascii="Verdana" w:hAnsi="Verdana"/>
          <w:bCs/>
          <w:sz w:val="24"/>
          <w:szCs w:val="24"/>
          <w:lang w:val="es-ES"/>
        </w:rPr>
        <w:t>Mex</w:t>
      </w:r>
      <w:proofErr w:type="spellEnd"/>
      <w:r w:rsidRPr="00AB671E">
        <w:rPr>
          <w:rFonts w:ascii="Verdana" w:hAnsi="Verdana"/>
          <w:bCs/>
          <w:sz w:val="24"/>
          <w:szCs w:val="24"/>
          <w:lang w:val="es-ES"/>
        </w:rPr>
        <w:t xml:space="preserve"> [Internet]. 2018 [citado 27/06/2025]; 154(</w:t>
      </w:r>
      <w:proofErr w:type="spellStart"/>
      <w:r w:rsidRPr="00AB671E">
        <w:rPr>
          <w:rFonts w:ascii="Verdana" w:hAnsi="Verdana"/>
          <w:bCs/>
          <w:sz w:val="24"/>
          <w:szCs w:val="24"/>
          <w:lang w:val="es-ES"/>
        </w:rPr>
        <w:t>Supp</w:t>
      </w:r>
      <w:proofErr w:type="spellEnd"/>
      <w:r w:rsidRPr="00AB671E">
        <w:rPr>
          <w:rFonts w:ascii="Verdana" w:hAnsi="Verdana"/>
          <w:bCs/>
          <w:sz w:val="24"/>
          <w:szCs w:val="24"/>
          <w:lang w:val="es-ES"/>
        </w:rPr>
        <w:t xml:space="preserve"> 2):S50-s5. Disponible en: </w:t>
      </w:r>
      <w:hyperlink r:id="rId16" w:history="1">
        <w:r w:rsidRPr="00AB671E">
          <w:rPr>
            <w:rStyle w:val="Hipervnculo"/>
            <w:rFonts w:ascii="Verdana" w:hAnsi="Verdana"/>
            <w:bCs/>
            <w:sz w:val="24"/>
            <w:szCs w:val="24"/>
            <w:lang w:val="es-ES"/>
          </w:rPr>
          <w:t>http://www.incmnsz.mx/2020/uiem/Publicaciones/Indices%20para%20la%20evaluacion%20de%20la%20resistencia%20a%20la%20insulina%20en%20individuos%20mexicanos%20sin%20diabetes.pdf</w:t>
        </w:r>
      </w:hyperlink>
      <w:r w:rsidRPr="00AB671E">
        <w:rPr>
          <w:rFonts w:ascii="Verdana" w:hAnsi="Verdana"/>
          <w:bCs/>
          <w:sz w:val="24"/>
          <w:szCs w:val="24"/>
          <w:lang w:val="es-ES"/>
        </w:rPr>
        <w:t xml:space="preserve"> </w:t>
      </w:r>
    </w:p>
    <w:p w14:paraId="4ED8E99E" w14:textId="77777777" w:rsidR="00AB671E" w:rsidRPr="00AB671E" w:rsidRDefault="00AB671E" w:rsidP="00AB671E">
      <w:pPr>
        <w:spacing w:line="240" w:lineRule="auto"/>
        <w:jc w:val="both"/>
        <w:rPr>
          <w:rFonts w:ascii="Verdana" w:hAnsi="Verdana"/>
          <w:bCs/>
          <w:sz w:val="24"/>
          <w:szCs w:val="24"/>
          <w:lang w:val="es-ES"/>
        </w:rPr>
      </w:pPr>
      <w:r w:rsidRPr="00AB671E">
        <w:rPr>
          <w:rFonts w:ascii="Verdana" w:hAnsi="Verdana"/>
          <w:bCs/>
          <w:sz w:val="24"/>
          <w:szCs w:val="24"/>
          <w:lang w:val="es-ES"/>
        </w:rPr>
        <w:t>5.</w:t>
      </w:r>
      <w:r w:rsidRPr="00AB671E">
        <w:rPr>
          <w:rFonts w:ascii="Verdana" w:hAnsi="Verdana"/>
          <w:bCs/>
          <w:sz w:val="24"/>
          <w:szCs w:val="24"/>
          <w:lang w:val="es-ES"/>
        </w:rPr>
        <w:tab/>
      </w:r>
      <w:proofErr w:type="spellStart"/>
      <w:r w:rsidRPr="00AB671E">
        <w:rPr>
          <w:rFonts w:ascii="Verdana" w:hAnsi="Verdana"/>
          <w:bCs/>
          <w:sz w:val="24"/>
          <w:szCs w:val="24"/>
          <w:lang w:val="es-ES"/>
        </w:rPr>
        <w:t>Mehta</w:t>
      </w:r>
      <w:proofErr w:type="spellEnd"/>
      <w:r w:rsidRPr="00AB671E">
        <w:rPr>
          <w:rFonts w:ascii="Verdana" w:hAnsi="Verdana"/>
          <w:bCs/>
          <w:sz w:val="24"/>
          <w:szCs w:val="24"/>
          <w:lang w:val="es-ES"/>
        </w:rPr>
        <w:t xml:space="preserve"> R, Antonio-Villa NE, Bello-Chavolla OY, Martagón AJ, </w:t>
      </w:r>
      <w:proofErr w:type="spellStart"/>
      <w:r w:rsidRPr="00AB671E">
        <w:rPr>
          <w:rFonts w:ascii="Verdana" w:hAnsi="Verdana"/>
          <w:bCs/>
          <w:sz w:val="24"/>
          <w:szCs w:val="24"/>
          <w:lang w:val="es-ES"/>
        </w:rPr>
        <w:t>Elias</w:t>
      </w:r>
      <w:proofErr w:type="spellEnd"/>
      <w:r w:rsidRPr="00AB671E">
        <w:rPr>
          <w:rFonts w:ascii="Verdana" w:hAnsi="Verdana"/>
          <w:bCs/>
          <w:sz w:val="24"/>
          <w:szCs w:val="24"/>
          <w:lang w:val="es-ES"/>
        </w:rPr>
        <w:t>-López D, Vargas-</w:t>
      </w:r>
      <w:proofErr w:type="spellStart"/>
      <w:r w:rsidRPr="00AB671E">
        <w:rPr>
          <w:rFonts w:ascii="Verdana" w:hAnsi="Verdana"/>
          <w:bCs/>
          <w:sz w:val="24"/>
          <w:szCs w:val="24"/>
          <w:lang w:val="es-ES"/>
        </w:rPr>
        <w:t>Vàzquez</w:t>
      </w:r>
      <w:proofErr w:type="spellEnd"/>
      <w:r w:rsidRPr="00AB671E">
        <w:rPr>
          <w:rFonts w:ascii="Verdana" w:hAnsi="Verdana"/>
          <w:bCs/>
          <w:sz w:val="24"/>
          <w:szCs w:val="24"/>
          <w:lang w:val="es-ES"/>
        </w:rPr>
        <w:t xml:space="preserve"> A, et al. La asociación entre la resistencia a la insulina y la rigidez arterial en pacientes mexicanos sin diabetes mellitus tipo 2. J Gaceta médica de México [Internet]. 2021 [citado </w:t>
      </w:r>
      <w:r w:rsidRPr="00AB671E">
        <w:rPr>
          <w:rFonts w:ascii="Verdana" w:hAnsi="Verdana"/>
          <w:bCs/>
          <w:sz w:val="24"/>
          <w:szCs w:val="24"/>
          <w:lang w:val="es-ES"/>
        </w:rPr>
        <w:lastRenderedPageBreak/>
        <w:t xml:space="preserve">27/06/2025]; 157(5):p539-47. Disponible en: </w:t>
      </w:r>
      <w:hyperlink r:id="rId17" w:history="1">
        <w:r w:rsidRPr="00AB671E">
          <w:rPr>
            <w:rStyle w:val="Hipervnculo"/>
            <w:rFonts w:ascii="Verdana" w:hAnsi="Verdana"/>
            <w:bCs/>
            <w:sz w:val="24"/>
            <w:szCs w:val="24"/>
            <w:lang w:val="es-ES"/>
          </w:rPr>
          <w:t>https://www.scielo.org.mx/pdf/gmm/v157n5/0016-3813-gmm-157-5-539.pdf</w:t>
        </w:r>
      </w:hyperlink>
      <w:r w:rsidRPr="00AB671E">
        <w:rPr>
          <w:rFonts w:ascii="Verdana" w:hAnsi="Verdana"/>
          <w:bCs/>
          <w:sz w:val="24"/>
          <w:szCs w:val="24"/>
          <w:lang w:val="es-ES"/>
        </w:rPr>
        <w:t xml:space="preserve"> </w:t>
      </w:r>
    </w:p>
    <w:p w14:paraId="72873F91" w14:textId="77777777" w:rsidR="00AB671E" w:rsidRPr="00AB671E" w:rsidRDefault="00AB671E" w:rsidP="00AB671E">
      <w:pPr>
        <w:spacing w:line="240" w:lineRule="auto"/>
        <w:jc w:val="both"/>
        <w:rPr>
          <w:rFonts w:ascii="Verdana" w:hAnsi="Verdana"/>
          <w:bCs/>
          <w:sz w:val="24"/>
          <w:szCs w:val="24"/>
          <w:lang w:val="es-ES"/>
        </w:rPr>
      </w:pPr>
      <w:r w:rsidRPr="00AB671E">
        <w:rPr>
          <w:rFonts w:ascii="Verdana" w:hAnsi="Verdana"/>
          <w:bCs/>
          <w:sz w:val="24"/>
          <w:szCs w:val="24"/>
          <w:lang w:val="es-ES"/>
        </w:rPr>
        <w:t>6.</w:t>
      </w:r>
      <w:r w:rsidRPr="00AB671E">
        <w:rPr>
          <w:rFonts w:ascii="Verdana" w:hAnsi="Verdana"/>
          <w:bCs/>
          <w:sz w:val="24"/>
          <w:szCs w:val="24"/>
          <w:lang w:val="es-ES"/>
        </w:rPr>
        <w:tab/>
        <w:t>Vega-Cárdenas M, Flores-Sánchez J, Torres-Rodríguez ML, Sánchez-</w:t>
      </w:r>
      <w:proofErr w:type="spellStart"/>
      <w:r w:rsidRPr="00AB671E">
        <w:rPr>
          <w:rFonts w:ascii="Verdana" w:hAnsi="Verdana"/>
          <w:bCs/>
          <w:sz w:val="24"/>
          <w:szCs w:val="24"/>
          <w:lang w:val="es-ES"/>
        </w:rPr>
        <w:t>Armáss</w:t>
      </w:r>
      <w:proofErr w:type="spellEnd"/>
      <w:r w:rsidRPr="00AB671E">
        <w:rPr>
          <w:rFonts w:ascii="Verdana" w:hAnsi="Verdana"/>
          <w:bCs/>
          <w:sz w:val="24"/>
          <w:szCs w:val="24"/>
          <w:lang w:val="es-ES"/>
        </w:rPr>
        <w:t xml:space="preserve"> O, Vargas-Morales JM, Cossío-Torres PE, et al. Distribución del índice triglicéridos y glucosa (</w:t>
      </w:r>
      <w:proofErr w:type="spellStart"/>
      <w:r w:rsidRPr="00AB671E">
        <w:rPr>
          <w:rFonts w:ascii="Verdana" w:hAnsi="Verdana"/>
          <w:bCs/>
          <w:sz w:val="24"/>
          <w:szCs w:val="24"/>
          <w:lang w:val="es-ES"/>
        </w:rPr>
        <w:t>TyG</w:t>
      </w:r>
      <w:proofErr w:type="spellEnd"/>
      <w:r w:rsidRPr="00AB671E">
        <w:rPr>
          <w:rFonts w:ascii="Verdana" w:hAnsi="Verdana"/>
          <w:bCs/>
          <w:sz w:val="24"/>
          <w:szCs w:val="24"/>
          <w:lang w:val="es-ES"/>
        </w:rPr>
        <w:t xml:space="preserve">) y el modelo homeostático para la evaluación de la resistencia a la insulina en la adolescencia tardía en mexicanos. Nutrición Hospitalaria [Internet]. 2022 [citado 27/06/2025]; 39:p1349-56. Disponible en: </w:t>
      </w:r>
      <w:hyperlink r:id="rId18" w:history="1">
        <w:r w:rsidRPr="00AB671E">
          <w:rPr>
            <w:rStyle w:val="Hipervnculo"/>
            <w:rFonts w:ascii="Verdana" w:hAnsi="Verdana"/>
            <w:bCs/>
            <w:sz w:val="24"/>
            <w:szCs w:val="24"/>
            <w:lang w:val="es-ES"/>
          </w:rPr>
          <w:t>http://scielo.isciii.es/scielo.php?script=sci_arttext&amp;pid=S0212-16112022001000018&amp;nrm=iso</w:t>
        </w:r>
      </w:hyperlink>
      <w:r w:rsidRPr="00AB671E">
        <w:rPr>
          <w:rFonts w:ascii="Verdana" w:hAnsi="Verdana"/>
          <w:bCs/>
          <w:sz w:val="24"/>
          <w:szCs w:val="24"/>
          <w:lang w:val="es-ES"/>
        </w:rPr>
        <w:t xml:space="preserve"> </w:t>
      </w:r>
    </w:p>
    <w:p w14:paraId="499E9077" w14:textId="77777777" w:rsidR="00AB671E" w:rsidRPr="00AB671E" w:rsidRDefault="00AB671E" w:rsidP="00AB671E">
      <w:pPr>
        <w:spacing w:line="240" w:lineRule="auto"/>
        <w:jc w:val="both"/>
        <w:rPr>
          <w:rFonts w:ascii="Verdana" w:hAnsi="Verdana"/>
          <w:bCs/>
          <w:sz w:val="24"/>
          <w:szCs w:val="24"/>
          <w:lang w:val="es-ES"/>
        </w:rPr>
      </w:pPr>
      <w:r w:rsidRPr="00AB671E">
        <w:rPr>
          <w:rFonts w:ascii="Verdana" w:hAnsi="Verdana"/>
          <w:bCs/>
          <w:sz w:val="24"/>
          <w:szCs w:val="24"/>
          <w:lang w:val="en-US"/>
        </w:rPr>
        <w:t>7.</w:t>
      </w:r>
      <w:r w:rsidRPr="00AB671E">
        <w:rPr>
          <w:rFonts w:ascii="Verdana" w:hAnsi="Verdana"/>
          <w:bCs/>
          <w:sz w:val="24"/>
          <w:szCs w:val="24"/>
          <w:lang w:val="en-US"/>
        </w:rPr>
        <w:tab/>
      </w:r>
      <w:proofErr w:type="spellStart"/>
      <w:r w:rsidRPr="00AB671E">
        <w:rPr>
          <w:rFonts w:ascii="Verdana" w:hAnsi="Verdana"/>
          <w:bCs/>
          <w:sz w:val="24"/>
          <w:szCs w:val="24"/>
          <w:lang w:val="en-US"/>
        </w:rPr>
        <w:t>Kırtıl</w:t>
      </w:r>
      <w:proofErr w:type="spellEnd"/>
      <w:r w:rsidRPr="00AB671E">
        <w:rPr>
          <w:rFonts w:ascii="Verdana" w:hAnsi="Verdana"/>
          <w:bCs/>
          <w:sz w:val="24"/>
          <w:szCs w:val="24"/>
          <w:lang w:val="en-US"/>
        </w:rPr>
        <w:t xml:space="preserve"> G, </w:t>
      </w:r>
      <w:proofErr w:type="spellStart"/>
      <w:r w:rsidRPr="00AB671E">
        <w:rPr>
          <w:rFonts w:ascii="Verdana" w:hAnsi="Verdana"/>
          <w:bCs/>
          <w:sz w:val="24"/>
          <w:szCs w:val="24"/>
          <w:lang w:val="en-US"/>
        </w:rPr>
        <w:t>Alpdemir</w:t>
      </w:r>
      <w:proofErr w:type="spellEnd"/>
      <w:r w:rsidRPr="00AB671E">
        <w:rPr>
          <w:rFonts w:ascii="Verdana" w:hAnsi="Verdana"/>
          <w:bCs/>
          <w:sz w:val="24"/>
          <w:szCs w:val="24"/>
          <w:lang w:val="en-US"/>
        </w:rPr>
        <w:t xml:space="preserve"> M, </w:t>
      </w:r>
      <w:proofErr w:type="spellStart"/>
      <w:r w:rsidRPr="00AB671E">
        <w:rPr>
          <w:rFonts w:ascii="Verdana" w:hAnsi="Verdana"/>
          <w:bCs/>
          <w:sz w:val="24"/>
          <w:szCs w:val="24"/>
          <w:lang w:val="en-US"/>
        </w:rPr>
        <w:t>Alpdemir</w:t>
      </w:r>
      <w:proofErr w:type="spellEnd"/>
      <w:r w:rsidRPr="00AB671E">
        <w:rPr>
          <w:rFonts w:ascii="Verdana" w:hAnsi="Verdana"/>
          <w:bCs/>
          <w:sz w:val="24"/>
          <w:szCs w:val="24"/>
          <w:lang w:val="en-US"/>
        </w:rPr>
        <w:t xml:space="preserve"> MF, </w:t>
      </w:r>
      <w:proofErr w:type="spellStart"/>
      <w:r w:rsidRPr="00AB671E">
        <w:rPr>
          <w:rFonts w:ascii="Verdana" w:hAnsi="Verdana"/>
          <w:bCs/>
          <w:sz w:val="24"/>
          <w:szCs w:val="24"/>
          <w:lang w:val="en-US"/>
        </w:rPr>
        <w:t>Şeneş</w:t>
      </w:r>
      <w:proofErr w:type="spellEnd"/>
      <w:r w:rsidRPr="00AB671E">
        <w:rPr>
          <w:rFonts w:ascii="Verdana" w:hAnsi="Verdana"/>
          <w:bCs/>
          <w:sz w:val="24"/>
          <w:szCs w:val="24"/>
          <w:lang w:val="en-US"/>
        </w:rPr>
        <w:t xml:space="preserve"> M. Evaluation of the Triglyceride Glucose Index as a Marker of Insulin Resistance in Adults with Isolated Impaired Glucose Tolerance. </w:t>
      </w:r>
      <w:proofErr w:type="spellStart"/>
      <w:r w:rsidRPr="00AB671E">
        <w:rPr>
          <w:rFonts w:ascii="Verdana" w:hAnsi="Verdana"/>
          <w:bCs/>
          <w:sz w:val="24"/>
          <w:szCs w:val="24"/>
          <w:lang w:val="es-ES"/>
        </w:rPr>
        <w:t>Ahi</w:t>
      </w:r>
      <w:proofErr w:type="spellEnd"/>
      <w:r w:rsidRPr="00AB671E">
        <w:rPr>
          <w:rFonts w:ascii="Verdana" w:hAnsi="Verdana"/>
          <w:bCs/>
          <w:sz w:val="24"/>
          <w:szCs w:val="24"/>
          <w:lang w:val="es-ES"/>
        </w:rPr>
        <w:t xml:space="preserve"> </w:t>
      </w:r>
      <w:proofErr w:type="spellStart"/>
      <w:r w:rsidRPr="00AB671E">
        <w:rPr>
          <w:rFonts w:ascii="Verdana" w:hAnsi="Verdana"/>
          <w:bCs/>
          <w:sz w:val="24"/>
          <w:szCs w:val="24"/>
          <w:lang w:val="es-ES"/>
        </w:rPr>
        <w:t>Evran</w:t>
      </w:r>
      <w:proofErr w:type="spellEnd"/>
      <w:r w:rsidRPr="00AB671E">
        <w:rPr>
          <w:rFonts w:ascii="Verdana" w:hAnsi="Verdana"/>
          <w:bCs/>
          <w:sz w:val="24"/>
          <w:szCs w:val="24"/>
          <w:lang w:val="es-ES"/>
        </w:rPr>
        <w:t xml:space="preserve"> Medical </w:t>
      </w:r>
      <w:proofErr w:type="spellStart"/>
      <w:r w:rsidRPr="00AB671E">
        <w:rPr>
          <w:rFonts w:ascii="Verdana" w:hAnsi="Verdana"/>
          <w:bCs/>
          <w:sz w:val="24"/>
          <w:szCs w:val="24"/>
          <w:lang w:val="es-ES"/>
        </w:rPr>
        <w:t>Journal</w:t>
      </w:r>
      <w:proofErr w:type="spellEnd"/>
      <w:r w:rsidRPr="00AB671E">
        <w:rPr>
          <w:rFonts w:ascii="Verdana" w:hAnsi="Verdana"/>
          <w:bCs/>
          <w:sz w:val="24"/>
          <w:szCs w:val="24"/>
          <w:lang w:val="es-ES"/>
        </w:rPr>
        <w:t xml:space="preserve"> [Internet]. 2023 [citado 27/06/2025]; 7(2): p205-11. Disponible en: </w:t>
      </w:r>
      <w:hyperlink r:id="rId19" w:history="1">
        <w:r w:rsidRPr="00AB671E">
          <w:rPr>
            <w:rStyle w:val="Hipervnculo"/>
            <w:rFonts w:ascii="Verdana" w:hAnsi="Verdana"/>
            <w:bCs/>
            <w:sz w:val="24"/>
            <w:szCs w:val="24"/>
            <w:lang w:val="es-ES"/>
          </w:rPr>
          <w:t>https://doi.org/10.46332/aemj.1140228</w:t>
        </w:r>
      </w:hyperlink>
    </w:p>
    <w:p w14:paraId="6319098F" w14:textId="77777777" w:rsidR="00AB671E" w:rsidRPr="00AB671E" w:rsidRDefault="00AB671E" w:rsidP="00AB671E">
      <w:pPr>
        <w:spacing w:line="240" w:lineRule="auto"/>
        <w:jc w:val="both"/>
        <w:rPr>
          <w:rFonts w:ascii="Verdana" w:hAnsi="Verdana"/>
          <w:bCs/>
          <w:sz w:val="24"/>
          <w:szCs w:val="24"/>
          <w:lang w:val="es-ES"/>
        </w:rPr>
      </w:pPr>
      <w:r w:rsidRPr="00AB671E">
        <w:rPr>
          <w:rFonts w:ascii="Verdana" w:hAnsi="Verdana"/>
          <w:bCs/>
          <w:sz w:val="24"/>
          <w:szCs w:val="24"/>
          <w:lang w:val="es-ES"/>
        </w:rPr>
        <w:t>8.</w:t>
      </w:r>
      <w:r w:rsidRPr="00AB671E">
        <w:rPr>
          <w:rFonts w:ascii="Verdana" w:hAnsi="Verdana"/>
          <w:bCs/>
          <w:sz w:val="24"/>
          <w:szCs w:val="24"/>
          <w:lang w:val="es-ES"/>
        </w:rPr>
        <w:tab/>
      </w:r>
      <w:proofErr w:type="spellStart"/>
      <w:r w:rsidRPr="00AB671E">
        <w:rPr>
          <w:rFonts w:ascii="Verdana" w:hAnsi="Verdana"/>
          <w:bCs/>
          <w:sz w:val="24"/>
          <w:szCs w:val="24"/>
          <w:lang w:val="es-ES"/>
        </w:rPr>
        <w:t>Meroño</w:t>
      </w:r>
      <w:proofErr w:type="spellEnd"/>
      <w:r w:rsidRPr="00AB671E">
        <w:rPr>
          <w:rFonts w:ascii="Verdana" w:hAnsi="Verdana"/>
          <w:bCs/>
          <w:sz w:val="24"/>
          <w:szCs w:val="24"/>
          <w:lang w:val="es-ES"/>
        </w:rPr>
        <w:t xml:space="preserve"> T, Alonso E, </w:t>
      </w:r>
      <w:proofErr w:type="spellStart"/>
      <w:r w:rsidRPr="00AB671E">
        <w:rPr>
          <w:rFonts w:ascii="Verdana" w:hAnsi="Verdana"/>
          <w:bCs/>
          <w:sz w:val="24"/>
          <w:szCs w:val="24"/>
          <w:lang w:val="es-ES"/>
        </w:rPr>
        <w:t>Kabakian</w:t>
      </w:r>
      <w:proofErr w:type="spellEnd"/>
      <w:r w:rsidRPr="00AB671E">
        <w:rPr>
          <w:rFonts w:ascii="Verdana" w:hAnsi="Verdana"/>
          <w:bCs/>
          <w:sz w:val="24"/>
          <w:szCs w:val="24"/>
          <w:lang w:val="es-ES"/>
        </w:rPr>
        <w:t xml:space="preserve"> L, </w:t>
      </w:r>
      <w:proofErr w:type="spellStart"/>
      <w:r w:rsidRPr="00AB671E">
        <w:rPr>
          <w:rFonts w:ascii="Verdana" w:hAnsi="Verdana"/>
          <w:bCs/>
          <w:sz w:val="24"/>
          <w:szCs w:val="24"/>
          <w:lang w:val="es-ES"/>
        </w:rPr>
        <w:t>Santucci</w:t>
      </w:r>
      <w:proofErr w:type="spellEnd"/>
      <w:r w:rsidRPr="00AB671E">
        <w:rPr>
          <w:rFonts w:ascii="Verdana" w:hAnsi="Verdana"/>
          <w:bCs/>
          <w:sz w:val="24"/>
          <w:szCs w:val="24"/>
          <w:lang w:val="es-ES"/>
        </w:rPr>
        <w:t xml:space="preserve"> MP, </w:t>
      </w:r>
      <w:proofErr w:type="spellStart"/>
      <w:r w:rsidRPr="00AB671E">
        <w:rPr>
          <w:rFonts w:ascii="Verdana" w:hAnsi="Verdana"/>
          <w:bCs/>
          <w:sz w:val="24"/>
          <w:szCs w:val="24"/>
          <w:lang w:val="es-ES"/>
        </w:rPr>
        <w:t>Muzzio</w:t>
      </w:r>
      <w:proofErr w:type="spellEnd"/>
      <w:r w:rsidRPr="00AB671E">
        <w:rPr>
          <w:rFonts w:ascii="Verdana" w:hAnsi="Verdana"/>
          <w:bCs/>
          <w:sz w:val="24"/>
          <w:szCs w:val="24"/>
          <w:lang w:val="es-ES"/>
        </w:rPr>
        <w:t xml:space="preserve"> ML. Utilidad de la glucosa 1-hora post-carga para la evaluación del riesgo de diabetes y sus complicaciones asociadas. Bioquímica y Patología Clínica [Internet]. 2018 [citado 27/06/2025]; 82(1): p45-57. Disponible en: </w:t>
      </w:r>
      <w:hyperlink r:id="rId20" w:history="1">
        <w:r w:rsidRPr="00AB671E">
          <w:rPr>
            <w:rStyle w:val="Hipervnculo"/>
            <w:rFonts w:ascii="Verdana" w:hAnsi="Verdana"/>
            <w:bCs/>
            <w:sz w:val="24"/>
            <w:szCs w:val="24"/>
            <w:lang w:val="es-ES"/>
          </w:rPr>
          <w:t>https://revistabypc.org.ar/index.php/bypc/article/view/81/190</w:t>
        </w:r>
      </w:hyperlink>
    </w:p>
    <w:p w14:paraId="5290951B" w14:textId="77777777" w:rsidR="00AB671E" w:rsidRPr="00AB671E" w:rsidRDefault="00AB671E" w:rsidP="00AB671E">
      <w:pPr>
        <w:spacing w:line="240" w:lineRule="auto"/>
        <w:jc w:val="both"/>
        <w:rPr>
          <w:rFonts w:ascii="Verdana" w:hAnsi="Verdana"/>
          <w:bCs/>
          <w:sz w:val="24"/>
          <w:szCs w:val="24"/>
        </w:rPr>
      </w:pPr>
      <w:r w:rsidRPr="00AB671E">
        <w:rPr>
          <w:rFonts w:ascii="Verdana" w:hAnsi="Verdana"/>
          <w:bCs/>
          <w:sz w:val="24"/>
          <w:szCs w:val="24"/>
          <w:lang w:val="es-ES"/>
        </w:rPr>
        <w:t>9.</w:t>
      </w:r>
      <w:r w:rsidRPr="00AB671E">
        <w:rPr>
          <w:rFonts w:ascii="Verdana" w:hAnsi="Verdana"/>
          <w:bCs/>
          <w:sz w:val="24"/>
          <w:szCs w:val="24"/>
          <w:lang w:val="es-ES"/>
        </w:rPr>
        <w:tab/>
      </w:r>
      <w:proofErr w:type="spellStart"/>
      <w:r w:rsidRPr="00AB671E">
        <w:rPr>
          <w:rFonts w:ascii="Verdana" w:hAnsi="Verdana"/>
          <w:bCs/>
          <w:sz w:val="24"/>
          <w:szCs w:val="24"/>
          <w:lang w:val="es-ES"/>
        </w:rPr>
        <w:t>Massimino</w:t>
      </w:r>
      <w:proofErr w:type="spellEnd"/>
      <w:r w:rsidRPr="00AB671E">
        <w:rPr>
          <w:rFonts w:ascii="Verdana" w:hAnsi="Verdana"/>
          <w:bCs/>
          <w:sz w:val="24"/>
          <w:szCs w:val="24"/>
          <w:lang w:val="es-ES"/>
        </w:rPr>
        <w:t xml:space="preserve"> M, Monea G, </w:t>
      </w:r>
      <w:proofErr w:type="spellStart"/>
      <w:r w:rsidRPr="00AB671E">
        <w:rPr>
          <w:rFonts w:ascii="Verdana" w:hAnsi="Verdana"/>
          <w:bCs/>
          <w:sz w:val="24"/>
          <w:szCs w:val="24"/>
          <w:lang w:val="es-ES"/>
        </w:rPr>
        <w:t>Marinaro</w:t>
      </w:r>
      <w:proofErr w:type="spellEnd"/>
      <w:r w:rsidRPr="00AB671E">
        <w:rPr>
          <w:rFonts w:ascii="Verdana" w:hAnsi="Verdana"/>
          <w:bCs/>
          <w:sz w:val="24"/>
          <w:szCs w:val="24"/>
          <w:lang w:val="es-ES"/>
        </w:rPr>
        <w:t xml:space="preserve"> G, </w:t>
      </w:r>
      <w:proofErr w:type="spellStart"/>
      <w:r w:rsidRPr="00AB671E">
        <w:rPr>
          <w:rFonts w:ascii="Verdana" w:hAnsi="Verdana"/>
          <w:bCs/>
          <w:sz w:val="24"/>
          <w:szCs w:val="24"/>
          <w:lang w:val="es-ES"/>
        </w:rPr>
        <w:t>Rubino</w:t>
      </w:r>
      <w:proofErr w:type="spellEnd"/>
      <w:r w:rsidRPr="00AB671E">
        <w:rPr>
          <w:rFonts w:ascii="Verdana" w:hAnsi="Verdana"/>
          <w:bCs/>
          <w:sz w:val="24"/>
          <w:szCs w:val="24"/>
          <w:lang w:val="es-ES"/>
        </w:rPr>
        <w:t xml:space="preserve"> M, Mancuso E, </w:t>
      </w:r>
      <w:proofErr w:type="spellStart"/>
      <w:r w:rsidRPr="00AB671E">
        <w:rPr>
          <w:rFonts w:ascii="Verdana" w:hAnsi="Verdana"/>
          <w:bCs/>
          <w:sz w:val="24"/>
          <w:szCs w:val="24"/>
          <w:lang w:val="es-ES"/>
        </w:rPr>
        <w:t>Mannino</w:t>
      </w:r>
      <w:proofErr w:type="spellEnd"/>
      <w:r w:rsidRPr="00AB671E">
        <w:rPr>
          <w:rFonts w:ascii="Verdana" w:hAnsi="Verdana"/>
          <w:bCs/>
          <w:sz w:val="24"/>
          <w:szCs w:val="24"/>
          <w:lang w:val="es-ES"/>
        </w:rPr>
        <w:t xml:space="preserve"> GC, et al. </w:t>
      </w:r>
      <w:r w:rsidRPr="00AB671E">
        <w:rPr>
          <w:rFonts w:ascii="Verdana" w:hAnsi="Verdana"/>
          <w:bCs/>
          <w:sz w:val="24"/>
          <w:szCs w:val="24"/>
          <w:lang w:val="en-US"/>
        </w:rPr>
        <w:t>The Triglycerides and Glucose (</w:t>
      </w:r>
      <w:proofErr w:type="spellStart"/>
      <w:r w:rsidRPr="00AB671E">
        <w:rPr>
          <w:rFonts w:ascii="Verdana" w:hAnsi="Verdana"/>
          <w:bCs/>
          <w:sz w:val="24"/>
          <w:szCs w:val="24"/>
          <w:lang w:val="en-US"/>
        </w:rPr>
        <w:t>TyG</w:t>
      </w:r>
      <w:proofErr w:type="spellEnd"/>
      <w:r w:rsidRPr="00AB671E">
        <w:rPr>
          <w:rFonts w:ascii="Verdana" w:hAnsi="Verdana"/>
          <w:bCs/>
          <w:sz w:val="24"/>
          <w:szCs w:val="24"/>
          <w:lang w:val="en-US"/>
        </w:rPr>
        <w:t xml:space="preserve">) Index Is Associated with 1-Hour Glucose Levels during an OGTT. </w:t>
      </w:r>
      <w:r w:rsidRPr="00AB671E">
        <w:rPr>
          <w:rFonts w:ascii="Verdana" w:hAnsi="Verdana"/>
          <w:bCs/>
          <w:sz w:val="24"/>
          <w:szCs w:val="24"/>
        </w:rPr>
        <w:t xml:space="preserve">IJERPH </w:t>
      </w:r>
      <w:r w:rsidRPr="00AB671E">
        <w:rPr>
          <w:rFonts w:ascii="Verdana" w:hAnsi="Verdana"/>
          <w:bCs/>
          <w:sz w:val="24"/>
          <w:szCs w:val="24"/>
          <w:lang w:val="es-ES"/>
        </w:rPr>
        <w:t xml:space="preserve">[Internet]. </w:t>
      </w:r>
      <w:r w:rsidRPr="00AB671E">
        <w:rPr>
          <w:rFonts w:ascii="Verdana" w:hAnsi="Verdana"/>
          <w:bCs/>
          <w:sz w:val="24"/>
          <w:szCs w:val="24"/>
        </w:rPr>
        <w:t xml:space="preserve">2023 </w:t>
      </w:r>
      <w:r w:rsidRPr="00AB671E">
        <w:rPr>
          <w:rFonts w:ascii="Verdana" w:hAnsi="Verdana"/>
          <w:bCs/>
          <w:sz w:val="24"/>
          <w:szCs w:val="24"/>
          <w:lang w:val="es-ES"/>
        </w:rPr>
        <w:t>[citado 27/06/2025]</w:t>
      </w:r>
      <w:r w:rsidRPr="00AB671E">
        <w:rPr>
          <w:rFonts w:ascii="Verdana" w:hAnsi="Verdana"/>
          <w:bCs/>
          <w:sz w:val="24"/>
          <w:szCs w:val="24"/>
        </w:rPr>
        <w:t xml:space="preserve">; 20(1): p787 p. Disponible en: </w:t>
      </w:r>
      <w:hyperlink r:id="rId21" w:history="1">
        <w:r w:rsidRPr="00AB671E">
          <w:rPr>
            <w:rStyle w:val="Hipervnculo"/>
            <w:rFonts w:ascii="Verdana" w:hAnsi="Verdana"/>
            <w:bCs/>
            <w:sz w:val="24"/>
            <w:szCs w:val="24"/>
          </w:rPr>
          <w:t>https://www.mdpi.com/1660-4601/20/1/787</w:t>
        </w:r>
      </w:hyperlink>
      <w:r w:rsidRPr="00AB671E">
        <w:rPr>
          <w:rFonts w:ascii="Verdana" w:hAnsi="Verdana"/>
          <w:bCs/>
          <w:sz w:val="24"/>
          <w:szCs w:val="24"/>
        </w:rPr>
        <w:t xml:space="preserve"> </w:t>
      </w:r>
    </w:p>
    <w:p w14:paraId="0FB504B4" w14:textId="77777777" w:rsidR="00AB671E" w:rsidRPr="00AB671E" w:rsidRDefault="00AB671E" w:rsidP="00AB671E">
      <w:pPr>
        <w:spacing w:line="240" w:lineRule="auto"/>
        <w:jc w:val="both"/>
        <w:rPr>
          <w:rFonts w:ascii="Verdana" w:hAnsi="Verdana"/>
          <w:bCs/>
          <w:sz w:val="24"/>
          <w:szCs w:val="24"/>
        </w:rPr>
      </w:pPr>
      <w:r w:rsidRPr="00AB671E">
        <w:rPr>
          <w:rFonts w:ascii="Verdana" w:hAnsi="Verdana"/>
          <w:bCs/>
          <w:sz w:val="24"/>
          <w:szCs w:val="24"/>
          <w:lang w:val="es-ES"/>
        </w:rPr>
        <w:t>10.</w:t>
      </w:r>
      <w:r w:rsidRPr="00AB671E">
        <w:rPr>
          <w:rFonts w:ascii="Verdana" w:hAnsi="Verdana"/>
          <w:bCs/>
          <w:sz w:val="24"/>
          <w:szCs w:val="24"/>
          <w:lang w:val="es-ES"/>
        </w:rPr>
        <w:tab/>
        <w:t xml:space="preserve">Lu J, Ni J, Su H, He X, Lu W, Zhu W, et al. </w:t>
      </w:r>
      <w:r w:rsidRPr="00AB671E">
        <w:rPr>
          <w:rFonts w:ascii="Verdana" w:hAnsi="Verdana"/>
          <w:bCs/>
          <w:sz w:val="24"/>
          <w:szCs w:val="24"/>
          <w:lang w:val="en-US"/>
        </w:rPr>
        <w:t xml:space="preserve">One-Hour </w:t>
      </w:r>
      <w:proofErr w:type="spellStart"/>
      <w:r w:rsidRPr="00AB671E">
        <w:rPr>
          <w:rFonts w:ascii="Verdana" w:hAnsi="Verdana"/>
          <w:bCs/>
          <w:sz w:val="24"/>
          <w:szCs w:val="24"/>
          <w:lang w:val="en-US"/>
        </w:rPr>
        <w:t>Postload</w:t>
      </w:r>
      <w:proofErr w:type="spellEnd"/>
      <w:r w:rsidRPr="00AB671E">
        <w:rPr>
          <w:rFonts w:ascii="Verdana" w:hAnsi="Verdana"/>
          <w:bCs/>
          <w:sz w:val="24"/>
          <w:szCs w:val="24"/>
          <w:lang w:val="en-US"/>
        </w:rPr>
        <w:t xml:space="preserve"> Glucose Is a More Sensitive Marker of Impaired </w:t>
      </w:r>
      <w:r w:rsidRPr="00AB671E">
        <w:rPr>
          <w:rFonts w:ascii="Verdana" w:hAnsi="Verdana"/>
          <w:bCs/>
          <w:sz w:val="24"/>
          <w:szCs w:val="24"/>
          <w:lang w:val="es-ES"/>
        </w:rPr>
        <w:t>β</w:t>
      </w:r>
      <w:r w:rsidRPr="00AB671E">
        <w:rPr>
          <w:rFonts w:ascii="Verdana" w:hAnsi="Verdana"/>
          <w:bCs/>
          <w:sz w:val="24"/>
          <w:szCs w:val="24"/>
          <w:lang w:val="en-US"/>
        </w:rPr>
        <w:t xml:space="preserve">-Cell Function Than Two-Hour </w:t>
      </w:r>
      <w:proofErr w:type="spellStart"/>
      <w:r w:rsidRPr="00AB671E">
        <w:rPr>
          <w:rFonts w:ascii="Verdana" w:hAnsi="Verdana"/>
          <w:bCs/>
          <w:sz w:val="24"/>
          <w:szCs w:val="24"/>
          <w:lang w:val="en-US"/>
        </w:rPr>
        <w:t>Postload</w:t>
      </w:r>
      <w:proofErr w:type="spellEnd"/>
      <w:r w:rsidRPr="00AB671E">
        <w:rPr>
          <w:rFonts w:ascii="Verdana" w:hAnsi="Verdana"/>
          <w:bCs/>
          <w:sz w:val="24"/>
          <w:szCs w:val="24"/>
          <w:lang w:val="en-US"/>
        </w:rPr>
        <w:t xml:space="preserve"> Glucose. </w:t>
      </w:r>
      <w:r w:rsidRPr="00AB671E">
        <w:rPr>
          <w:rFonts w:ascii="Verdana" w:hAnsi="Verdana"/>
          <w:bCs/>
          <w:sz w:val="24"/>
          <w:szCs w:val="24"/>
        </w:rPr>
        <w:t xml:space="preserve">Diabetes [Internet]. 2025 </w:t>
      </w:r>
      <w:r w:rsidRPr="00AB671E">
        <w:rPr>
          <w:rFonts w:ascii="Verdana" w:hAnsi="Verdana"/>
          <w:bCs/>
          <w:sz w:val="24"/>
          <w:szCs w:val="24"/>
          <w:lang w:val="es-ES"/>
        </w:rPr>
        <w:t>[citado 27/06/2025]</w:t>
      </w:r>
      <w:r w:rsidRPr="00AB671E">
        <w:rPr>
          <w:rFonts w:ascii="Verdana" w:hAnsi="Verdana"/>
          <w:bCs/>
          <w:sz w:val="24"/>
          <w:szCs w:val="24"/>
        </w:rPr>
        <w:t xml:space="preserve">; 74(1): p36-42p. Disponible en: </w:t>
      </w:r>
      <w:hyperlink r:id="rId22" w:history="1">
        <w:r w:rsidRPr="00AB671E">
          <w:rPr>
            <w:rStyle w:val="Hipervnculo"/>
            <w:rFonts w:ascii="Verdana" w:hAnsi="Verdana"/>
            <w:bCs/>
            <w:sz w:val="24"/>
            <w:szCs w:val="24"/>
          </w:rPr>
          <w:t>https://pmc.ncbi.nlm.nih.gov/articles/PMC11664022/pdf/db240652.pdf</w:t>
        </w:r>
      </w:hyperlink>
      <w:r w:rsidRPr="00AB671E">
        <w:rPr>
          <w:rFonts w:ascii="Verdana" w:hAnsi="Verdana"/>
          <w:bCs/>
          <w:sz w:val="24"/>
          <w:szCs w:val="24"/>
        </w:rPr>
        <w:t xml:space="preserve"> </w:t>
      </w:r>
    </w:p>
    <w:p w14:paraId="2E822357" w14:textId="77777777" w:rsidR="00AB671E" w:rsidRPr="00AB671E" w:rsidRDefault="00AB671E" w:rsidP="00AB671E">
      <w:pPr>
        <w:spacing w:line="240" w:lineRule="auto"/>
        <w:jc w:val="both"/>
        <w:rPr>
          <w:rFonts w:ascii="Verdana" w:hAnsi="Verdana"/>
          <w:bCs/>
          <w:sz w:val="24"/>
          <w:szCs w:val="24"/>
          <w:lang w:val="en-US"/>
        </w:rPr>
      </w:pPr>
      <w:r w:rsidRPr="00AB671E">
        <w:rPr>
          <w:rFonts w:ascii="Verdana" w:hAnsi="Verdana"/>
          <w:bCs/>
          <w:sz w:val="24"/>
          <w:szCs w:val="24"/>
          <w:lang w:val="en-US"/>
        </w:rPr>
        <w:t>11.</w:t>
      </w:r>
      <w:r w:rsidRPr="00AB671E">
        <w:rPr>
          <w:rFonts w:ascii="Verdana" w:hAnsi="Verdana"/>
          <w:bCs/>
          <w:sz w:val="24"/>
          <w:szCs w:val="24"/>
          <w:lang w:val="en-US"/>
        </w:rPr>
        <w:tab/>
      </w:r>
      <w:proofErr w:type="spellStart"/>
      <w:r w:rsidRPr="00AB671E">
        <w:rPr>
          <w:rFonts w:ascii="Verdana" w:hAnsi="Verdana"/>
          <w:bCs/>
          <w:sz w:val="24"/>
          <w:szCs w:val="24"/>
          <w:lang w:val="en-US"/>
        </w:rPr>
        <w:t>Scheit</w:t>
      </w:r>
      <w:proofErr w:type="spellEnd"/>
      <w:r w:rsidRPr="00AB671E">
        <w:rPr>
          <w:rFonts w:ascii="Verdana" w:hAnsi="Verdana"/>
          <w:bCs/>
          <w:sz w:val="24"/>
          <w:szCs w:val="24"/>
          <w:lang w:val="en-US"/>
        </w:rPr>
        <w:t xml:space="preserve"> L, </w:t>
      </w:r>
      <w:proofErr w:type="spellStart"/>
      <w:r w:rsidRPr="00AB671E">
        <w:rPr>
          <w:rFonts w:ascii="Verdana" w:hAnsi="Verdana"/>
          <w:bCs/>
          <w:sz w:val="24"/>
          <w:szCs w:val="24"/>
          <w:lang w:val="en-US"/>
        </w:rPr>
        <w:t>Schröder</w:t>
      </w:r>
      <w:proofErr w:type="spellEnd"/>
      <w:r w:rsidRPr="00AB671E">
        <w:rPr>
          <w:rFonts w:ascii="Verdana" w:hAnsi="Verdana"/>
          <w:bCs/>
          <w:sz w:val="24"/>
          <w:szCs w:val="24"/>
          <w:lang w:val="en-US"/>
        </w:rPr>
        <w:t xml:space="preserve"> J, Will S, </w:t>
      </w:r>
      <w:proofErr w:type="spellStart"/>
      <w:r w:rsidRPr="00AB671E">
        <w:rPr>
          <w:rFonts w:ascii="Verdana" w:hAnsi="Verdana"/>
          <w:bCs/>
          <w:sz w:val="24"/>
          <w:szCs w:val="24"/>
          <w:lang w:val="en-US"/>
        </w:rPr>
        <w:t>Reer</w:t>
      </w:r>
      <w:proofErr w:type="spellEnd"/>
      <w:r w:rsidRPr="00AB671E">
        <w:rPr>
          <w:rFonts w:ascii="Verdana" w:hAnsi="Verdana"/>
          <w:bCs/>
          <w:sz w:val="24"/>
          <w:szCs w:val="24"/>
          <w:lang w:val="en-US"/>
        </w:rPr>
        <w:t xml:space="preserve"> R, Hoffmann MA. Prevalence of obesity and associated health risks in soldiers of the German Armed Forces. Journal of occupational medicine and toxicology [Internet]. [</w:t>
      </w:r>
      <w:proofErr w:type="spellStart"/>
      <w:r w:rsidRPr="00AB671E">
        <w:rPr>
          <w:rFonts w:ascii="Verdana" w:hAnsi="Verdana"/>
          <w:bCs/>
          <w:sz w:val="24"/>
          <w:szCs w:val="24"/>
          <w:lang w:val="en-US"/>
        </w:rPr>
        <w:t>citado</w:t>
      </w:r>
      <w:proofErr w:type="spellEnd"/>
      <w:r w:rsidRPr="00AB671E">
        <w:rPr>
          <w:rFonts w:ascii="Verdana" w:hAnsi="Verdana"/>
          <w:bCs/>
          <w:sz w:val="24"/>
          <w:szCs w:val="24"/>
          <w:lang w:val="en-US"/>
        </w:rPr>
        <w:t xml:space="preserve"> 27/06/2025] 2024; 19(1): p12. </w:t>
      </w:r>
      <w:proofErr w:type="spellStart"/>
      <w:r w:rsidRPr="00AB671E">
        <w:rPr>
          <w:rFonts w:ascii="Verdana" w:hAnsi="Verdana"/>
          <w:bCs/>
          <w:sz w:val="24"/>
          <w:szCs w:val="24"/>
          <w:lang w:val="en-US"/>
        </w:rPr>
        <w:t>Disponible</w:t>
      </w:r>
      <w:proofErr w:type="spellEnd"/>
      <w:r w:rsidRPr="00AB671E">
        <w:rPr>
          <w:rFonts w:ascii="Verdana" w:hAnsi="Verdana"/>
          <w:bCs/>
          <w:sz w:val="24"/>
          <w:szCs w:val="24"/>
          <w:lang w:val="en-US"/>
        </w:rPr>
        <w:t xml:space="preserve"> en: </w:t>
      </w:r>
      <w:hyperlink r:id="rId23" w:history="1">
        <w:r w:rsidRPr="00AB671E">
          <w:rPr>
            <w:rStyle w:val="Hipervnculo"/>
            <w:rFonts w:ascii="Verdana" w:hAnsi="Verdana"/>
            <w:bCs/>
            <w:sz w:val="24"/>
            <w:szCs w:val="24"/>
            <w:lang w:val="en-US"/>
          </w:rPr>
          <w:t>https://pmc.ncbi.nlm.nih.gov/articles/PMC11020664/pdf/12995_2024_Article_411.pdf</w:t>
        </w:r>
      </w:hyperlink>
      <w:r w:rsidRPr="00AB671E">
        <w:rPr>
          <w:rFonts w:ascii="Verdana" w:hAnsi="Verdana"/>
          <w:bCs/>
          <w:sz w:val="24"/>
          <w:szCs w:val="24"/>
          <w:lang w:val="en-US"/>
        </w:rPr>
        <w:t xml:space="preserve"> </w:t>
      </w:r>
    </w:p>
    <w:p w14:paraId="5192920D" w14:textId="77777777" w:rsidR="00AB671E" w:rsidRPr="00AB671E" w:rsidRDefault="00AB671E" w:rsidP="00AB671E">
      <w:pPr>
        <w:spacing w:line="240" w:lineRule="auto"/>
        <w:jc w:val="both"/>
        <w:rPr>
          <w:rFonts w:ascii="Verdana" w:hAnsi="Verdana"/>
          <w:bCs/>
          <w:sz w:val="24"/>
          <w:szCs w:val="24"/>
        </w:rPr>
      </w:pPr>
      <w:r w:rsidRPr="00AB671E">
        <w:rPr>
          <w:rFonts w:ascii="Verdana" w:hAnsi="Verdana"/>
          <w:bCs/>
          <w:sz w:val="24"/>
          <w:szCs w:val="24"/>
          <w:lang w:val="en-US"/>
        </w:rPr>
        <w:t>12.</w:t>
      </w:r>
      <w:r w:rsidRPr="00AB671E">
        <w:rPr>
          <w:rFonts w:ascii="Verdana" w:hAnsi="Verdana"/>
          <w:bCs/>
          <w:sz w:val="24"/>
          <w:szCs w:val="24"/>
          <w:lang w:val="en-US"/>
        </w:rPr>
        <w:tab/>
      </w:r>
      <w:proofErr w:type="spellStart"/>
      <w:r w:rsidRPr="00AB671E">
        <w:rPr>
          <w:rFonts w:ascii="Verdana" w:hAnsi="Verdana"/>
          <w:bCs/>
          <w:sz w:val="24"/>
          <w:szCs w:val="24"/>
          <w:lang w:val="en-US"/>
        </w:rPr>
        <w:t>Gravina</w:t>
      </w:r>
      <w:proofErr w:type="spellEnd"/>
      <w:r w:rsidRPr="00AB671E">
        <w:rPr>
          <w:rFonts w:ascii="Verdana" w:hAnsi="Verdana"/>
          <w:bCs/>
          <w:sz w:val="24"/>
          <w:szCs w:val="24"/>
          <w:lang w:val="en-US"/>
        </w:rPr>
        <w:t xml:space="preserve"> D, Keeler JL, </w:t>
      </w:r>
      <w:proofErr w:type="spellStart"/>
      <w:r w:rsidRPr="00AB671E">
        <w:rPr>
          <w:rFonts w:ascii="Verdana" w:hAnsi="Verdana"/>
          <w:bCs/>
          <w:sz w:val="24"/>
          <w:szCs w:val="24"/>
          <w:lang w:val="en-US"/>
        </w:rPr>
        <w:t>Akkese</w:t>
      </w:r>
      <w:proofErr w:type="spellEnd"/>
      <w:r w:rsidRPr="00AB671E">
        <w:rPr>
          <w:rFonts w:ascii="Verdana" w:hAnsi="Verdana"/>
          <w:bCs/>
          <w:sz w:val="24"/>
          <w:szCs w:val="24"/>
          <w:lang w:val="en-US"/>
        </w:rPr>
        <w:t xml:space="preserve"> MN, </w:t>
      </w:r>
      <w:proofErr w:type="spellStart"/>
      <w:r w:rsidRPr="00AB671E">
        <w:rPr>
          <w:rFonts w:ascii="Verdana" w:hAnsi="Verdana"/>
          <w:bCs/>
          <w:sz w:val="24"/>
          <w:szCs w:val="24"/>
          <w:lang w:val="en-US"/>
        </w:rPr>
        <w:t>Bektas</w:t>
      </w:r>
      <w:proofErr w:type="spellEnd"/>
      <w:r w:rsidRPr="00AB671E">
        <w:rPr>
          <w:rFonts w:ascii="Verdana" w:hAnsi="Verdana"/>
          <w:bCs/>
          <w:sz w:val="24"/>
          <w:szCs w:val="24"/>
          <w:lang w:val="en-US"/>
        </w:rPr>
        <w:t xml:space="preserve"> S, Fina P, Tweed C, et al. Randomized Controlled Trials to Treat Obesity in Military Populations: A Systematic Review and Meta-Analysis. </w:t>
      </w:r>
      <w:proofErr w:type="spellStart"/>
      <w:r w:rsidRPr="00AB671E">
        <w:rPr>
          <w:rFonts w:ascii="Verdana" w:hAnsi="Verdana"/>
          <w:bCs/>
          <w:sz w:val="24"/>
          <w:szCs w:val="24"/>
        </w:rPr>
        <w:t>Nutrients</w:t>
      </w:r>
      <w:proofErr w:type="spellEnd"/>
      <w:r w:rsidRPr="00AB671E">
        <w:rPr>
          <w:rFonts w:ascii="Verdana" w:hAnsi="Verdana"/>
          <w:bCs/>
          <w:sz w:val="24"/>
          <w:szCs w:val="24"/>
        </w:rPr>
        <w:t xml:space="preserve"> [Internet]. 2023 </w:t>
      </w:r>
      <w:r w:rsidRPr="00AB671E">
        <w:rPr>
          <w:rFonts w:ascii="Verdana" w:hAnsi="Verdana"/>
          <w:bCs/>
          <w:sz w:val="24"/>
          <w:szCs w:val="24"/>
          <w:lang w:val="es-ES"/>
        </w:rPr>
        <w:t xml:space="preserve">[citado </w:t>
      </w:r>
      <w:r w:rsidRPr="00AB671E">
        <w:rPr>
          <w:rFonts w:ascii="Verdana" w:hAnsi="Verdana"/>
          <w:bCs/>
          <w:sz w:val="24"/>
          <w:szCs w:val="24"/>
          <w:lang w:val="es-ES"/>
        </w:rPr>
        <w:lastRenderedPageBreak/>
        <w:t>27/06/2025]</w:t>
      </w:r>
      <w:r w:rsidRPr="00AB671E">
        <w:rPr>
          <w:rFonts w:ascii="Verdana" w:hAnsi="Verdana"/>
          <w:bCs/>
          <w:sz w:val="24"/>
          <w:szCs w:val="24"/>
        </w:rPr>
        <w:t xml:space="preserve">; 15(22): p4778- Disponible en: </w:t>
      </w:r>
      <w:hyperlink r:id="rId24" w:history="1">
        <w:r w:rsidRPr="00AB671E">
          <w:rPr>
            <w:rStyle w:val="Hipervnculo"/>
            <w:rFonts w:ascii="Verdana" w:hAnsi="Verdana"/>
            <w:bCs/>
            <w:sz w:val="24"/>
            <w:szCs w:val="24"/>
          </w:rPr>
          <w:t>https://pmc.ncbi.nlm.nih.gov/articles/PMC10674729/pdf/nutrients-15-04778.pdf</w:t>
        </w:r>
      </w:hyperlink>
      <w:r w:rsidRPr="00AB671E">
        <w:rPr>
          <w:rFonts w:ascii="Verdana" w:hAnsi="Verdana"/>
          <w:bCs/>
          <w:sz w:val="24"/>
          <w:szCs w:val="24"/>
        </w:rPr>
        <w:t xml:space="preserve"> </w:t>
      </w:r>
    </w:p>
    <w:p w14:paraId="7EF9E791" w14:textId="77777777" w:rsidR="00AB671E" w:rsidRPr="00AB671E" w:rsidRDefault="00AB671E" w:rsidP="00AB671E">
      <w:pPr>
        <w:spacing w:line="240" w:lineRule="auto"/>
        <w:jc w:val="both"/>
        <w:rPr>
          <w:rFonts w:ascii="Verdana" w:hAnsi="Verdana"/>
          <w:bCs/>
          <w:sz w:val="24"/>
          <w:szCs w:val="24"/>
          <w:lang w:val="en-US"/>
        </w:rPr>
      </w:pPr>
      <w:r w:rsidRPr="00AB671E">
        <w:rPr>
          <w:rFonts w:ascii="Verdana" w:hAnsi="Verdana"/>
          <w:bCs/>
          <w:sz w:val="24"/>
          <w:szCs w:val="24"/>
          <w:lang w:val="es-ES"/>
        </w:rPr>
        <w:t>13.</w:t>
      </w:r>
      <w:r w:rsidRPr="00AB671E">
        <w:rPr>
          <w:rFonts w:ascii="Verdana" w:hAnsi="Verdana"/>
          <w:bCs/>
          <w:sz w:val="24"/>
          <w:szCs w:val="24"/>
          <w:lang w:val="es-ES"/>
        </w:rPr>
        <w:tab/>
      </w:r>
      <w:proofErr w:type="spellStart"/>
      <w:r w:rsidRPr="00AB671E">
        <w:rPr>
          <w:rFonts w:ascii="Verdana" w:hAnsi="Verdana"/>
          <w:bCs/>
          <w:sz w:val="24"/>
          <w:szCs w:val="24"/>
          <w:lang w:val="es-ES"/>
        </w:rPr>
        <w:t>Nie</w:t>
      </w:r>
      <w:proofErr w:type="spellEnd"/>
      <w:r w:rsidRPr="00AB671E">
        <w:rPr>
          <w:rFonts w:ascii="Verdana" w:hAnsi="Verdana"/>
          <w:bCs/>
          <w:sz w:val="24"/>
          <w:szCs w:val="24"/>
          <w:lang w:val="es-ES"/>
        </w:rPr>
        <w:t xml:space="preserve"> P, </w:t>
      </w:r>
      <w:proofErr w:type="spellStart"/>
      <w:r w:rsidRPr="00AB671E">
        <w:rPr>
          <w:rFonts w:ascii="Verdana" w:hAnsi="Verdana"/>
          <w:bCs/>
          <w:sz w:val="24"/>
          <w:szCs w:val="24"/>
          <w:lang w:val="es-ES"/>
        </w:rPr>
        <w:t>Ding</w:t>
      </w:r>
      <w:proofErr w:type="spellEnd"/>
      <w:r w:rsidRPr="00AB671E">
        <w:rPr>
          <w:rFonts w:ascii="Verdana" w:hAnsi="Verdana"/>
          <w:bCs/>
          <w:sz w:val="24"/>
          <w:szCs w:val="24"/>
          <w:lang w:val="es-ES"/>
        </w:rPr>
        <w:t xml:space="preserve"> L, Sousa-Poza A, Alfonso </w:t>
      </w:r>
      <w:proofErr w:type="spellStart"/>
      <w:r w:rsidRPr="00AB671E">
        <w:rPr>
          <w:rFonts w:ascii="Verdana" w:hAnsi="Verdana"/>
          <w:bCs/>
          <w:sz w:val="24"/>
          <w:szCs w:val="24"/>
          <w:lang w:val="es-ES"/>
        </w:rPr>
        <w:t>Leon</w:t>
      </w:r>
      <w:proofErr w:type="spellEnd"/>
      <w:r w:rsidRPr="00AB671E">
        <w:rPr>
          <w:rFonts w:ascii="Verdana" w:hAnsi="Verdana"/>
          <w:bCs/>
          <w:sz w:val="24"/>
          <w:szCs w:val="24"/>
          <w:lang w:val="es-ES"/>
        </w:rPr>
        <w:t xml:space="preserve"> A, </w:t>
      </w:r>
      <w:proofErr w:type="spellStart"/>
      <w:r w:rsidRPr="00AB671E">
        <w:rPr>
          <w:rFonts w:ascii="Verdana" w:hAnsi="Verdana"/>
          <w:bCs/>
          <w:sz w:val="24"/>
          <w:szCs w:val="24"/>
          <w:lang w:val="es-ES"/>
        </w:rPr>
        <w:t>Xue</w:t>
      </w:r>
      <w:proofErr w:type="spellEnd"/>
      <w:r w:rsidRPr="00AB671E">
        <w:rPr>
          <w:rFonts w:ascii="Verdana" w:hAnsi="Verdana"/>
          <w:bCs/>
          <w:sz w:val="24"/>
          <w:szCs w:val="24"/>
          <w:lang w:val="es-ES"/>
        </w:rPr>
        <w:t xml:space="preserve"> H, Jia P, et al. </w:t>
      </w:r>
      <w:r w:rsidRPr="00AB671E">
        <w:rPr>
          <w:rFonts w:ascii="Verdana" w:hAnsi="Verdana"/>
          <w:bCs/>
          <w:sz w:val="24"/>
          <w:szCs w:val="24"/>
          <w:lang w:val="en-US"/>
        </w:rPr>
        <w:t>Socioeconomic position and the health gradient in Cuba: dimensions and mechanisms. BMC Public Health [Internet]. 2020 [</w:t>
      </w:r>
      <w:proofErr w:type="spellStart"/>
      <w:r w:rsidRPr="00AB671E">
        <w:rPr>
          <w:rFonts w:ascii="Verdana" w:hAnsi="Verdana"/>
          <w:bCs/>
          <w:sz w:val="24"/>
          <w:szCs w:val="24"/>
          <w:lang w:val="en-US"/>
        </w:rPr>
        <w:t>citado</w:t>
      </w:r>
      <w:proofErr w:type="spellEnd"/>
      <w:r w:rsidRPr="00AB671E">
        <w:rPr>
          <w:rFonts w:ascii="Verdana" w:hAnsi="Verdana"/>
          <w:bCs/>
          <w:sz w:val="24"/>
          <w:szCs w:val="24"/>
          <w:lang w:val="en-US"/>
        </w:rPr>
        <w:t xml:space="preserve"> 27/06/2025]; 20(1): p866. </w:t>
      </w:r>
      <w:proofErr w:type="spellStart"/>
      <w:r w:rsidRPr="00AB671E">
        <w:rPr>
          <w:rFonts w:ascii="Verdana" w:hAnsi="Verdana"/>
          <w:bCs/>
          <w:sz w:val="24"/>
          <w:szCs w:val="24"/>
          <w:lang w:val="en-US"/>
        </w:rPr>
        <w:t>Disponible</w:t>
      </w:r>
      <w:proofErr w:type="spellEnd"/>
      <w:r w:rsidRPr="00AB671E">
        <w:rPr>
          <w:rFonts w:ascii="Verdana" w:hAnsi="Verdana"/>
          <w:bCs/>
          <w:sz w:val="24"/>
          <w:szCs w:val="24"/>
          <w:lang w:val="en-US"/>
        </w:rPr>
        <w:t xml:space="preserve"> en: </w:t>
      </w:r>
      <w:hyperlink r:id="rId25" w:history="1">
        <w:r w:rsidRPr="00AB671E">
          <w:rPr>
            <w:rStyle w:val="Hipervnculo"/>
            <w:rFonts w:ascii="Verdana" w:hAnsi="Verdana"/>
            <w:bCs/>
            <w:sz w:val="24"/>
            <w:szCs w:val="24"/>
            <w:lang w:val="en-US"/>
          </w:rPr>
          <w:t>https://pmc.ncbi.nlm.nih.gov/articles/PMC7275493/pdf/12889_2020_Article_8980.pdf</w:t>
        </w:r>
      </w:hyperlink>
      <w:r w:rsidRPr="00AB671E">
        <w:rPr>
          <w:rFonts w:ascii="Verdana" w:hAnsi="Verdana"/>
          <w:bCs/>
          <w:sz w:val="24"/>
          <w:szCs w:val="24"/>
          <w:lang w:val="en-US"/>
        </w:rPr>
        <w:t xml:space="preserve"> </w:t>
      </w:r>
    </w:p>
    <w:p w14:paraId="5435A6A0" w14:textId="77777777" w:rsidR="00AB671E" w:rsidRPr="00AB671E" w:rsidRDefault="00AB671E" w:rsidP="00AB671E">
      <w:pPr>
        <w:spacing w:line="240" w:lineRule="auto"/>
        <w:jc w:val="both"/>
        <w:rPr>
          <w:rFonts w:ascii="Verdana" w:hAnsi="Verdana"/>
          <w:bCs/>
          <w:sz w:val="24"/>
          <w:szCs w:val="24"/>
          <w:lang w:val="en-US"/>
        </w:rPr>
      </w:pPr>
      <w:r w:rsidRPr="00AB671E">
        <w:rPr>
          <w:rFonts w:ascii="Verdana" w:hAnsi="Verdana"/>
          <w:bCs/>
          <w:sz w:val="24"/>
          <w:szCs w:val="24"/>
          <w:lang w:val="en-US"/>
        </w:rPr>
        <w:t>14.</w:t>
      </w:r>
      <w:r w:rsidRPr="00AB671E">
        <w:rPr>
          <w:rFonts w:ascii="Verdana" w:hAnsi="Verdana"/>
          <w:bCs/>
          <w:sz w:val="24"/>
          <w:szCs w:val="24"/>
          <w:lang w:val="en-US"/>
        </w:rPr>
        <w:tab/>
        <w:t xml:space="preserve">Park SK, </w:t>
      </w:r>
      <w:proofErr w:type="spellStart"/>
      <w:r w:rsidRPr="00AB671E">
        <w:rPr>
          <w:rFonts w:ascii="Verdana" w:hAnsi="Verdana"/>
          <w:bCs/>
          <w:sz w:val="24"/>
          <w:szCs w:val="24"/>
          <w:lang w:val="en-US"/>
        </w:rPr>
        <w:t>Ryoo</w:t>
      </w:r>
      <w:proofErr w:type="spellEnd"/>
      <w:r w:rsidRPr="00AB671E">
        <w:rPr>
          <w:rFonts w:ascii="Verdana" w:hAnsi="Verdana"/>
          <w:bCs/>
          <w:sz w:val="24"/>
          <w:szCs w:val="24"/>
          <w:lang w:val="en-US"/>
        </w:rPr>
        <w:t xml:space="preserve"> J-H, Oh C-M, Choi J-M, Jung JY. 1-Hour and 2-Hour </w:t>
      </w:r>
      <w:proofErr w:type="spellStart"/>
      <w:r w:rsidRPr="00AB671E">
        <w:rPr>
          <w:rFonts w:ascii="Verdana" w:hAnsi="Verdana"/>
          <w:bCs/>
          <w:sz w:val="24"/>
          <w:szCs w:val="24"/>
          <w:lang w:val="en-US"/>
        </w:rPr>
        <w:t>Postload</w:t>
      </w:r>
      <w:proofErr w:type="spellEnd"/>
      <w:r w:rsidRPr="00AB671E">
        <w:rPr>
          <w:rFonts w:ascii="Verdana" w:hAnsi="Verdana"/>
          <w:bCs/>
          <w:sz w:val="24"/>
          <w:szCs w:val="24"/>
          <w:lang w:val="en-US"/>
        </w:rPr>
        <w:t xml:space="preserve"> Glucose Level on Oral Glucose Tolerance Test and the Risk of Incident Metabolic Syndrome. The Journal of Clinical Endocrinology &amp; Metabolism [Internet]. 2018 [</w:t>
      </w:r>
      <w:proofErr w:type="spellStart"/>
      <w:r w:rsidRPr="00AB671E">
        <w:rPr>
          <w:rFonts w:ascii="Verdana" w:hAnsi="Verdana"/>
          <w:bCs/>
          <w:sz w:val="24"/>
          <w:szCs w:val="24"/>
          <w:lang w:val="en-US"/>
        </w:rPr>
        <w:t>citado</w:t>
      </w:r>
      <w:proofErr w:type="spellEnd"/>
      <w:r w:rsidRPr="00AB671E">
        <w:rPr>
          <w:rFonts w:ascii="Verdana" w:hAnsi="Verdana"/>
          <w:bCs/>
          <w:sz w:val="24"/>
          <w:szCs w:val="24"/>
          <w:lang w:val="en-US"/>
        </w:rPr>
        <w:t xml:space="preserve"> 27/06/2025]; 104(2): p539-49. </w:t>
      </w:r>
      <w:proofErr w:type="spellStart"/>
      <w:r w:rsidRPr="00AB671E">
        <w:rPr>
          <w:rFonts w:ascii="Verdana" w:hAnsi="Verdana"/>
          <w:bCs/>
          <w:sz w:val="24"/>
          <w:szCs w:val="24"/>
          <w:lang w:val="en-US"/>
        </w:rPr>
        <w:t>Disponible</w:t>
      </w:r>
      <w:proofErr w:type="spellEnd"/>
      <w:r w:rsidRPr="00AB671E">
        <w:rPr>
          <w:rFonts w:ascii="Verdana" w:hAnsi="Verdana"/>
          <w:bCs/>
          <w:sz w:val="24"/>
          <w:szCs w:val="24"/>
          <w:lang w:val="en-US"/>
        </w:rPr>
        <w:t xml:space="preserve"> en: </w:t>
      </w:r>
      <w:hyperlink r:id="rId26" w:history="1">
        <w:r w:rsidRPr="00AB671E">
          <w:rPr>
            <w:rStyle w:val="Hipervnculo"/>
            <w:rFonts w:ascii="Verdana" w:hAnsi="Verdana"/>
            <w:bCs/>
            <w:sz w:val="24"/>
            <w:szCs w:val="24"/>
            <w:lang w:val="en-US"/>
          </w:rPr>
          <w:t>https://doi.org/10.1210/jc.2018-01102</w:t>
        </w:r>
      </w:hyperlink>
      <w:r w:rsidRPr="00AB671E">
        <w:rPr>
          <w:rFonts w:ascii="Verdana" w:hAnsi="Verdana"/>
          <w:bCs/>
          <w:sz w:val="24"/>
          <w:szCs w:val="24"/>
          <w:lang w:val="en-US"/>
        </w:rPr>
        <w:t xml:space="preserve"> </w:t>
      </w:r>
    </w:p>
    <w:p w14:paraId="29463932" w14:textId="77777777" w:rsidR="00AB671E" w:rsidRPr="00AB671E" w:rsidRDefault="00AB671E" w:rsidP="00AB671E">
      <w:pPr>
        <w:spacing w:line="240" w:lineRule="auto"/>
        <w:jc w:val="both"/>
        <w:rPr>
          <w:rFonts w:ascii="Verdana" w:hAnsi="Verdana"/>
          <w:bCs/>
          <w:sz w:val="24"/>
          <w:szCs w:val="24"/>
          <w:lang w:val="en-US"/>
        </w:rPr>
      </w:pPr>
      <w:r w:rsidRPr="00AB671E">
        <w:rPr>
          <w:rFonts w:ascii="Verdana" w:hAnsi="Verdana"/>
          <w:bCs/>
          <w:sz w:val="24"/>
          <w:szCs w:val="24"/>
          <w:lang w:val="en-US"/>
        </w:rPr>
        <w:t>15.</w:t>
      </w:r>
      <w:r w:rsidRPr="00AB671E">
        <w:rPr>
          <w:rFonts w:ascii="Verdana" w:hAnsi="Verdana"/>
          <w:bCs/>
          <w:sz w:val="24"/>
          <w:szCs w:val="24"/>
          <w:lang w:val="en-US"/>
        </w:rPr>
        <w:tab/>
        <w:t xml:space="preserve">Lee MH, </w:t>
      </w:r>
      <w:proofErr w:type="spellStart"/>
      <w:r w:rsidRPr="00AB671E">
        <w:rPr>
          <w:rFonts w:ascii="Verdana" w:hAnsi="Verdana"/>
          <w:bCs/>
          <w:sz w:val="24"/>
          <w:szCs w:val="24"/>
          <w:lang w:val="en-US"/>
        </w:rPr>
        <w:t>Febriana</w:t>
      </w:r>
      <w:proofErr w:type="spellEnd"/>
      <w:r w:rsidRPr="00AB671E">
        <w:rPr>
          <w:rFonts w:ascii="Verdana" w:hAnsi="Verdana"/>
          <w:bCs/>
          <w:sz w:val="24"/>
          <w:szCs w:val="24"/>
          <w:lang w:val="en-US"/>
        </w:rPr>
        <w:t xml:space="preserve"> E, Lim M, </w:t>
      </w:r>
      <w:proofErr w:type="spellStart"/>
      <w:r w:rsidRPr="00AB671E">
        <w:rPr>
          <w:rFonts w:ascii="Verdana" w:hAnsi="Verdana"/>
          <w:bCs/>
          <w:sz w:val="24"/>
          <w:szCs w:val="24"/>
          <w:lang w:val="en-US"/>
        </w:rPr>
        <w:t>Baig</w:t>
      </w:r>
      <w:proofErr w:type="spellEnd"/>
      <w:r w:rsidRPr="00AB671E">
        <w:rPr>
          <w:rFonts w:ascii="Verdana" w:hAnsi="Verdana"/>
          <w:bCs/>
          <w:sz w:val="24"/>
          <w:szCs w:val="24"/>
          <w:lang w:val="en-US"/>
        </w:rPr>
        <w:t xml:space="preserve"> S, </w:t>
      </w:r>
      <w:proofErr w:type="spellStart"/>
      <w:r w:rsidRPr="00AB671E">
        <w:rPr>
          <w:rFonts w:ascii="Verdana" w:hAnsi="Verdana"/>
          <w:bCs/>
          <w:sz w:val="24"/>
          <w:szCs w:val="24"/>
          <w:lang w:val="en-US"/>
        </w:rPr>
        <w:t>Shen</w:t>
      </w:r>
      <w:proofErr w:type="spellEnd"/>
      <w:r w:rsidRPr="00AB671E">
        <w:rPr>
          <w:rFonts w:ascii="Verdana" w:hAnsi="Verdana"/>
          <w:bCs/>
          <w:sz w:val="24"/>
          <w:szCs w:val="24"/>
          <w:lang w:val="en-US"/>
        </w:rPr>
        <w:t xml:space="preserve"> L, </w:t>
      </w:r>
      <w:proofErr w:type="spellStart"/>
      <w:r w:rsidRPr="00AB671E">
        <w:rPr>
          <w:rFonts w:ascii="Verdana" w:hAnsi="Verdana"/>
          <w:bCs/>
          <w:sz w:val="24"/>
          <w:szCs w:val="24"/>
          <w:lang w:val="en-US"/>
        </w:rPr>
        <w:t>Dalakoti</w:t>
      </w:r>
      <w:proofErr w:type="spellEnd"/>
      <w:r w:rsidRPr="00AB671E">
        <w:rPr>
          <w:rFonts w:ascii="Verdana" w:hAnsi="Verdana"/>
          <w:bCs/>
          <w:sz w:val="24"/>
          <w:szCs w:val="24"/>
          <w:lang w:val="en-US"/>
        </w:rPr>
        <w:t xml:space="preserve"> M, et al. Performance of the 1 h oral glucose tolerance test in predicting type 2 diabetes and association with impaired </w:t>
      </w:r>
      <w:r w:rsidRPr="00AB671E">
        <w:rPr>
          <w:rFonts w:ascii="Verdana" w:hAnsi="Verdana"/>
          <w:bCs/>
          <w:sz w:val="24"/>
          <w:szCs w:val="24"/>
          <w:lang w:val="es-ES"/>
        </w:rPr>
        <w:t>β</w:t>
      </w:r>
      <w:r w:rsidRPr="00AB671E">
        <w:rPr>
          <w:rFonts w:ascii="Verdana" w:hAnsi="Verdana"/>
          <w:bCs/>
          <w:sz w:val="24"/>
          <w:szCs w:val="24"/>
          <w:lang w:val="en-US"/>
        </w:rPr>
        <w:t>-cell function in Asians: a national prospective cohort study. The Lancet Regional Health – Western Pacific [Internet]. 2025 [</w:t>
      </w:r>
      <w:proofErr w:type="spellStart"/>
      <w:r w:rsidRPr="00AB671E">
        <w:rPr>
          <w:rFonts w:ascii="Verdana" w:hAnsi="Verdana"/>
          <w:bCs/>
          <w:sz w:val="24"/>
          <w:szCs w:val="24"/>
          <w:lang w:val="en-US"/>
        </w:rPr>
        <w:t>citado</w:t>
      </w:r>
      <w:proofErr w:type="spellEnd"/>
      <w:r w:rsidRPr="00AB671E">
        <w:rPr>
          <w:rFonts w:ascii="Verdana" w:hAnsi="Verdana"/>
          <w:bCs/>
          <w:sz w:val="24"/>
          <w:szCs w:val="24"/>
          <w:lang w:val="en-US"/>
        </w:rPr>
        <w:t xml:space="preserve"> 27/06/2025]; 54. </w:t>
      </w:r>
      <w:proofErr w:type="spellStart"/>
      <w:r w:rsidRPr="00AB671E">
        <w:rPr>
          <w:rFonts w:ascii="Verdana" w:hAnsi="Verdana"/>
          <w:bCs/>
          <w:sz w:val="24"/>
          <w:szCs w:val="24"/>
          <w:lang w:val="en-US"/>
        </w:rPr>
        <w:t>Disponible</w:t>
      </w:r>
      <w:proofErr w:type="spellEnd"/>
      <w:r w:rsidRPr="00AB671E">
        <w:rPr>
          <w:rFonts w:ascii="Verdana" w:hAnsi="Verdana"/>
          <w:bCs/>
          <w:sz w:val="24"/>
          <w:szCs w:val="24"/>
          <w:lang w:val="en-US"/>
        </w:rPr>
        <w:t xml:space="preserve"> en: </w:t>
      </w:r>
      <w:hyperlink r:id="rId27" w:history="1">
        <w:r w:rsidRPr="00AB671E">
          <w:rPr>
            <w:rStyle w:val="Hipervnculo"/>
            <w:rFonts w:ascii="Verdana" w:hAnsi="Verdana"/>
            <w:bCs/>
            <w:sz w:val="24"/>
            <w:szCs w:val="24"/>
            <w:lang w:val="en-US"/>
          </w:rPr>
          <w:t>https://www.thelancet.com/action/showPdf?pii=S2666-6065%2824%2900272-4</w:t>
        </w:r>
      </w:hyperlink>
    </w:p>
    <w:p w14:paraId="060CEA51" w14:textId="77777777" w:rsidR="00AB671E" w:rsidRPr="00AB671E" w:rsidRDefault="00AB671E" w:rsidP="00AB671E">
      <w:pPr>
        <w:spacing w:line="240" w:lineRule="auto"/>
        <w:jc w:val="both"/>
        <w:rPr>
          <w:rFonts w:ascii="Verdana" w:hAnsi="Verdana"/>
          <w:bCs/>
          <w:sz w:val="24"/>
          <w:szCs w:val="24"/>
        </w:rPr>
      </w:pPr>
      <w:r w:rsidRPr="00AB671E">
        <w:rPr>
          <w:rFonts w:ascii="Verdana" w:hAnsi="Verdana"/>
          <w:bCs/>
          <w:sz w:val="24"/>
          <w:szCs w:val="24"/>
          <w:lang w:val="en-US"/>
        </w:rPr>
        <w:t>16.</w:t>
      </w:r>
      <w:r w:rsidRPr="00AB671E">
        <w:rPr>
          <w:rFonts w:ascii="Verdana" w:hAnsi="Verdana"/>
          <w:bCs/>
          <w:sz w:val="24"/>
          <w:szCs w:val="24"/>
          <w:lang w:val="en-US"/>
        </w:rPr>
        <w:tab/>
      </w:r>
      <w:proofErr w:type="spellStart"/>
      <w:r w:rsidRPr="00AB671E">
        <w:rPr>
          <w:rFonts w:ascii="Verdana" w:hAnsi="Verdana"/>
          <w:bCs/>
          <w:sz w:val="24"/>
          <w:szCs w:val="24"/>
          <w:lang w:val="en-US"/>
        </w:rPr>
        <w:t>Joshipura</w:t>
      </w:r>
      <w:proofErr w:type="spellEnd"/>
      <w:r w:rsidRPr="00AB671E">
        <w:rPr>
          <w:rFonts w:ascii="Verdana" w:hAnsi="Verdana"/>
          <w:bCs/>
          <w:sz w:val="24"/>
          <w:szCs w:val="24"/>
          <w:lang w:val="en-US"/>
        </w:rPr>
        <w:t xml:space="preserve"> KJ, </w:t>
      </w:r>
      <w:proofErr w:type="spellStart"/>
      <w:r w:rsidRPr="00AB671E">
        <w:rPr>
          <w:rFonts w:ascii="Verdana" w:hAnsi="Verdana"/>
          <w:bCs/>
          <w:sz w:val="24"/>
          <w:szCs w:val="24"/>
          <w:lang w:val="en-US"/>
        </w:rPr>
        <w:t>Andriankaja</w:t>
      </w:r>
      <w:proofErr w:type="spellEnd"/>
      <w:r w:rsidRPr="00AB671E">
        <w:rPr>
          <w:rFonts w:ascii="Verdana" w:hAnsi="Verdana"/>
          <w:bCs/>
          <w:sz w:val="24"/>
          <w:szCs w:val="24"/>
          <w:lang w:val="en-US"/>
        </w:rPr>
        <w:t xml:space="preserve"> MO, Hu FB, Ritchie CS. Relative utility of 1-h Oral Glucose Tolerance Test as a measure of abnormal glucose homeostasis. </w:t>
      </w:r>
      <w:r w:rsidRPr="00AB671E">
        <w:rPr>
          <w:rFonts w:ascii="Verdana" w:hAnsi="Verdana"/>
          <w:bCs/>
          <w:sz w:val="24"/>
          <w:szCs w:val="24"/>
        </w:rPr>
        <w:t xml:space="preserve">Diabetes Res </w:t>
      </w:r>
      <w:proofErr w:type="spellStart"/>
      <w:r w:rsidRPr="00AB671E">
        <w:rPr>
          <w:rFonts w:ascii="Verdana" w:hAnsi="Verdana"/>
          <w:bCs/>
          <w:sz w:val="24"/>
          <w:szCs w:val="24"/>
        </w:rPr>
        <w:t>Clin</w:t>
      </w:r>
      <w:proofErr w:type="spellEnd"/>
      <w:r w:rsidRPr="00AB671E">
        <w:rPr>
          <w:rFonts w:ascii="Verdana" w:hAnsi="Verdana"/>
          <w:bCs/>
          <w:sz w:val="24"/>
          <w:szCs w:val="24"/>
        </w:rPr>
        <w:t xml:space="preserve"> </w:t>
      </w:r>
      <w:proofErr w:type="spellStart"/>
      <w:r w:rsidRPr="00AB671E">
        <w:rPr>
          <w:rFonts w:ascii="Verdana" w:hAnsi="Verdana"/>
          <w:bCs/>
          <w:sz w:val="24"/>
          <w:szCs w:val="24"/>
        </w:rPr>
        <w:t>Pract</w:t>
      </w:r>
      <w:proofErr w:type="spellEnd"/>
      <w:r w:rsidRPr="00AB671E">
        <w:rPr>
          <w:rFonts w:ascii="Verdana" w:hAnsi="Verdana"/>
          <w:bCs/>
          <w:sz w:val="24"/>
          <w:szCs w:val="24"/>
        </w:rPr>
        <w:t xml:space="preserve"> [Internet]. 2011 </w:t>
      </w:r>
      <w:r w:rsidRPr="00AB671E">
        <w:rPr>
          <w:rFonts w:ascii="Verdana" w:hAnsi="Verdana"/>
          <w:bCs/>
          <w:sz w:val="24"/>
          <w:szCs w:val="24"/>
          <w:lang w:val="es-ES"/>
        </w:rPr>
        <w:t>[citado 27/06/2025]</w:t>
      </w:r>
      <w:r w:rsidRPr="00AB671E">
        <w:rPr>
          <w:rFonts w:ascii="Verdana" w:hAnsi="Verdana"/>
          <w:bCs/>
          <w:sz w:val="24"/>
          <w:szCs w:val="24"/>
        </w:rPr>
        <w:t xml:space="preserve">; 93(2): p268-75. Disponible en: </w:t>
      </w:r>
      <w:hyperlink r:id="rId28" w:history="1">
        <w:r w:rsidRPr="00AB671E">
          <w:rPr>
            <w:rStyle w:val="Hipervnculo"/>
            <w:rFonts w:ascii="Verdana" w:hAnsi="Verdana"/>
            <w:bCs/>
            <w:sz w:val="24"/>
            <w:szCs w:val="24"/>
          </w:rPr>
          <w:t>https://pmc.ncbi.nlm.nih.gov/articles/PMC3156353/pdf/nihms-312721.pdf</w:t>
        </w:r>
      </w:hyperlink>
      <w:r w:rsidRPr="00AB671E">
        <w:rPr>
          <w:rFonts w:ascii="Verdana" w:hAnsi="Verdana"/>
          <w:bCs/>
          <w:sz w:val="24"/>
          <w:szCs w:val="24"/>
        </w:rPr>
        <w:t xml:space="preserve"> </w:t>
      </w:r>
    </w:p>
    <w:p w14:paraId="3885CCEA" w14:textId="77777777" w:rsidR="00AB671E" w:rsidRPr="00AB671E" w:rsidRDefault="00AB671E" w:rsidP="00AB671E">
      <w:pPr>
        <w:spacing w:line="240" w:lineRule="auto"/>
        <w:jc w:val="both"/>
        <w:rPr>
          <w:rFonts w:ascii="Verdana" w:hAnsi="Verdana"/>
          <w:bCs/>
          <w:sz w:val="24"/>
          <w:szCs w:val="24"/>
        </w:rPr>
      </w:pPr>
      <w:r w:rsidRPr="00AB671E">
        <w:rPr>
          <w:rFonts w:ascii="Verdana" w:hAnsi="Verdana"/>
          <w:bCs/>
          <w:sz w:val="24"/>
          <w:szCs w:val="24"/>
        </w:rPr>
        <w:t>17.</w:t>
      </w:r>
      <w:r w:rsidRPr="00AB671E">
        <w:rPr>
          <w:rFonts w:ascii="Verdana" w:hAnsi="Verdana"/>
          <w:bCs/>
          <w:sz w:val="24"/>
          <w:szCs w:val="24"/>
        </w:rPr>
        <w:tab/>
      </w:r>
      <w:proofErr w:type="spellStart"/>
      <w:r w:rsidRPr="00AB671E">
        <w:rPr>
          <w:rFonts w:ascii="Verdana" w:hAnsi="Verdana"/>
          <w:bCs/>
          <w:sz w:val="24"/>
          <w:szCs w:val="24"/>
        </w:rPr>
        <w:t>Gajjar</w:t>
      </w:r>
      <w:proofErr w:type="spellEnd"/>
      <w:r w:rsidRPr="00AB671E">
        <w:rPr>
          <w:rFonts w:ascii="Verdana" w:hAnsi="Verdana"/>
          <w:bCs/>
          <w:sz w:val="24"/>
          <w:szCs w:val="24"/>
        </w:rPr>
        <w:t xml:space="preserve"> M, </w:t>
      </w:r>
      <w:proofErr w:type="spellStart"/>
      <w:r w:rsidRPr="00AB671E">
        <w:rPr>
          <w:rFonts w:ascii="Verdana" w:hAnsi="Verdana"/>
          <w:bCs/>
          <w:sz w:val="24"/>
          <w:szCs w:val="24"/>
        </w:rPr>
        <w:t>Mishra</w:t>
      </w:r>
      <w:proofErr w:type="spellEnd"/>
      <w:r w:rsidRPr="00AB671E">
        <w:rPr>
          <w:rFonts w:ascii="Verdana" w:hAnsi="Verdana"/>
          <w:bCs/>
          <w:sz w:val="24"/>
          <w:szCs w:val="24"/>
        </w:rPr>
        <w:t xml:space="preserve"> MK, </w:t>
      </w:r>
      <w:proofErr w:type="spellStart"/>
      <w:r w:rsidRPr="00AB671E">
        <w:rPr>
          <w:rFonts w:ascii="Verdana" w:hAnsi="Verdana"/>
          <w:bCs/>
          <w:sz w:val="24"/>
          <w:szCs w:val="24"/>
        </w:rPr>
        <w:t>Shah</w:t>
      </w:r>
      <w:proofErr w:type="spellEnd"/>
      <w:r w:rsidRPr="00AB671E">
        <w:rPr>
          <w:rFonts w:ascii="Verdana" w:hAnsi="Verdana"/>
          <w:bCs/>
          <w:sz w:val="24"/>
          <w:szCs w:val="24"/>
        </w:rPr>
        <w:t xml:space="preserve"> TJ, </w:t>
      </w:r>
      <w:proofErr w:type="spellStart"/>
      <w:r w:rsidRPr="00AB671E">
        <w:rPr>
          <w:rFonts w:ascii="Verdana" w:hAnsi="Verdana"/>
          <w:bCs/>
          <w:sz w:val="24"/>
          <w:szCs w:val="24"/>
        </w:rPr>
        <w:t>Saiyad</w:t>
      </w:r>
      <w:proofErr w:type="spellEnd"/>
      <w:r w:rsidRPr="00AB671E">
        <w:rPr>
          <w:rFonts w:ascii="Verdana" w:hAnsi="Verdana"/>
          <w:bCs/>
          <w:sz w:val="24"/>
          <w:szCs w:val="24"/>
        </w:rPr>
        <w:t xml:space="preserve"> SS, Rajput JPS. </w:t>
      </w:r>
      <w:r w:rsidRPr="00AB671E">
        <w:rPr>
          <w:rFonts w:ascii="Verdana" w:hAnsi="Verdana"/>
          <w:bCs/>
          <w:sz w:val="24"/>
          <w:szCs w:val="24"/>
          <w:lang w:val="en-US"/>
        </w:rPr>
        <w:t xml:space="preserve">Triglyceride-Glucose Index and Atherogenic Index as Alternative Biomarkers for Glycemic Control in Type 2 Diabetes Mellitus. </w:t>
      </w:r>
      <w:proofErr w:type="spellStart"/>
      <w:r w:rsidRPr="00AB671E">
        <w:rPr>
          <w:rFonts w:ascii="Verdana" w:hAnsi="Verdana"/>
          <w:bCs/>
          <w:sz w:val="24"/>
          <w:szCs w:val="24"/>
        </w:rPr>
        <w:t>Cureus</w:t>
      </w:r>
      <w:proofErr w:type="spellEnd"/>
      <w:r w:rsidRPr="00AB671E">
        <w:rPr>
          <w:rFonts w:ascii="Verdana" w:hAnsi="Verdana"/>
          <w:bCs/>
          <w:sz w:val="24"/>
          <w:szCs w:val="24"/>
        </w:rPr>
        <w:t xml:space="preserve"> [Internet]. 2025 </w:t>
      </w:r>
      <w:r w:rsidRPr="00AB671E">
        <w:rPr>
          <w:rFonts w:ascii="Verdana" w:hAnsi="Verdana"/>
          <w:bCs/>
          <w:sz w:val="24"/>
          <w:szCs w:val="24"/>
          <w:lang w:val="es-ES"/>
        </w:rPr>
        <w:t>[citado 27/06/2025]</w:t>
      </w:r>
      <w:r w:rsidRPr="00AB671E">
        <w:rPr>
          <w:rFonts w:ascii="Verdana" w:hAnsi="Verdana"/>
          <w:bCs/>
          <w:sz w:val="24"/>
          <w:szCs w:val="24"/>
        </w:rPr>
        <w:t xml:space="preserve">; 17(3): e81550. Disponible en: </w:t>
      </w:r>
      <w:hyperlink r:id="rId29" w:history="1">
        <w:r w:rsidRPr="00AB671E">
          <w:rPr>
            <w:rStyle w:val="Hipervnculo"/>
            <w:rFonts w:ascii="Verdana" w:hAnsi="Verdana"/>
            <w:bCs/>
            <w:sz w:val="24"/>
            <w:szCs w:val="24"/>
          </w:rPr>
          <w:t>https://pmc.ncbi.nlm.nih.gov/articles/PMC12045142/pdf/cureus-0017-00000081550.pdf</w:t>
        </w:r>
      </w:hyperlink>
      <w:r w:rsidRPr="00AB671E">
        <w:rPr>
          <w:rFonts w:ascii="Verdana" w:hAnsi="Verdana"/>
          <w:bCs/>
          <w:sz w:val="24"/>
          <w:szCs w:val="24"/>
        </w:rPr>
        <w:t xml:space="preserve"> </w:t>
      </w:r>
    </w:p>
    <w:p w14:paraId="0012FC49" w14:textId="77777777" w:rsidR="00AB671E" w:rsidRPr="00AB671E" w:rsidRDefault="00AB671E" w:rsidP="00AB671E">
      <w:pPr>
        <w:spacing w:line="240" w:lineRule="auto"/>
        <w:jc w:val="both"/>
        <w:rPr>
          <w:rFonts w:ascii="Verdana" w:hAnsi="Verdana"/>
          <w:bCs/>
          <w:sz w:val="24"/>
          <w:szCs w:val="24"/>
        </w:rPr>
      </w:pPr>
      <w:r w:rsidRPr="00AB671E">
        <w:rPr>
          <w:rFonts w:ascii="Verdana" w:hAnsi="Verdana"/>
          <w:bCs/>
          <w:sz w:val="24"/>
          <w:szCs w:val="24"/>
          <w:lang w:val="en-US"/>
        </w:rPr>
        <w:t>18.</w:t>
      </w:r>
      <w:r w:rsidRPr="00AB671E">
        <w:rPr>
          <w:rFonts w:ascii="Verdana" w:hAnsi="Verdana"/>
          <w:bCs/>
          <w:sz w:val="24"/>
          <w:szCs w:val="24"/>
          <w:lang w:val="en-US"/>
        </w:rPr>
        <w:tab/>
        <w:t xml:space="preserve">Li X, Sun M, Yang Y, Yao N, Yan S, Wang L, et al. Predictive Effect of Triglyceride Glucose-Related Parameters, Obesity Indices, and Lipid Ratios for Diabetes in a Chinese Population: A Prospective Cohort Study. Frontiers in endocrinology [Internet]. </w:t>
      </w:r>
      <w:r w:rsidRPr="00AB671E">
        <w:rPr>
          <w:rFonts w:ascii="Verdana" w:hAnsi="Verdana"/>
          <w:bCs/>
          <w:sz w:val="24"/>
          <w:szCs w:val="24"/>
        </w:rPr>
        <w:t xml:space="preserve">2022 </w:t>
      </w:r>
      <w:r w:rsidRPr="00AB671E">
        <w:rPr>
          <w:rFonts w:ascii="Verdana" w:hAnsi="Verdana"/>
          <w:bCs/>
          <w:sz w:val="24"/>
          <w:szCs w:val="24"/>
          <w:lang w:val="es-ES"/>
        </w:rPr>
        <w:t>[citado 27/06/2025]</w:t>
      </w:r>
      <w:r w:rsidRPr="00AB671E">
        <w:rPr>
          <w:rFonts w:ascii="Verdana" w:hAnsi="Verdana"/>
          <w:bCs/>
          <w:sz w:val="24"/>
          <w:szCs w:val="24"/>
        </w:rPr>
        <w:t xml:space="preserve">; 13: p862919. Disponible en: </w:t>
      </w:r>
      <w:hyperlink r:id="rId30" w:history="1">
        <w:r w:rsidRPr="00AB671E">
          <w:rPr>
            <w:rStyle w:val="Hipervnculo"/>
            <w:rFonts w:ascii="Verdana" w:hAnsi="Verdana"/>
            <w:bCs/>
            <w:sz w:val="24"/>
            <w:szCs w:val="24"/>
          </w:rPr>
          <w:t>https://europepmc.org/backend/ptpmcrender.fcgi?accid=PMC9007200&amp;blobtype=pdf</w:t>
        </w:r>
      </w:hyperlink>
      <w:r w:rsidRPr="00AB671E">
        <w:rPr>
          <w:rFonts w:ascii="Verdana" w:hAnsi="Verdana"/>
          <w:bCs/>
          <w:sz w:val="24"/>
          <w:szCs w:val="24"/>
        </w:rPr>
        <w:t xml:space="preserve"> </w:t>
      </w:r>
    </w:p>
    <w:p w14:paraId="736536BC" w14:textId="77777777" w:rsidR="00AB671E" w:rsidRPr="00AB671E" w:rsidRDefault="00AB671E" w:rsidP="00AB671E">
      <w:pPr>
        <w:spacing w:line="240" w:lineRule="auto"/>
        <w:jc w:val="both"/>
        <w:rPr>
          <w:rFonts w:ascii="Verdana" w:hAnsi="Verdana"/>
          <w:bCs/>
          <w:sz w:val="24"/>
          <w:szCs w:val="24"/>
        </w:rPr>
      </w:pPr>
      <w:r w:rsidRPr="00AB671E">
        <w:rPr>
          <w:rFonts w:ascii="Verdana" w:hAnsi="Verdana"/>
          <w:bCs/>
          <w:sz w:val="24"/>
          <w:szCs w:val="24"/>
          <w:lang w:val="en-US"/>
        </w:rPr>
        <w:lastRenderedPageBreak/>
        <w:t>19.</w:t>
      </w:r>
      <w:r w:rsidRPr="00AB671E">
        <w:rPr>
          <w:rFonts w:ascii="Verdana" w:hAnsi="Verdana"/>
          <w:bCs/>
          <w:sz w:val="24"/>
          <w:szCs w:val="24"/>
          <w:lang w:val="en-US"/>
        </w:rPr>
        <w:tab/>
        <w:t xml:space="preserve">Shan Y, Liu Q, Gao T. Triglyceride-glucose index in predicting the risk of new-onset diabetes in the general population aged 45 years and older: a national prospective cohort study. </w:t>
      </w:r>
      <w:r w:rsidRPr="00AB671E">
        <w:rPr>
          <w:rFonts w:ascii="Verdana" w:hAnsi="Verdana"/>
          <w:bCs/>
          <w:sz w:val="24"/>
          <w:szCs w:val="24"/>
        </w:rPr>
        <w:t xml:space="preserve">BMC </w:t>
      </w:r>
      <w:proofErr w:type="spellStart"/>
      <w:r w:rsidRPr="00AB671E">
        <w:rPr>
          <w:rFonts w:ascii="Verdana" w:hAnsi="Verdana"/>
          <w:bCs/>
          <w:sz w:val="24"/>
          <w:szCs w:val="24"/>
        </w:rPr>
        <w:t>Endocr</w:t>
      </w:r>
      <w:proofErr w:type="spellEnd"/>
      <w:r w:rsidRPr="00AB671E">
        <w:rPr>
          <w:rFonts w:ascii="Verdana" w:hAnsi="Verdana"/>
          <w:bCs/>
          <w:sz w:val="24"/>
          <w:szCs w:val="24"/>
        </w:rPr>
        <w:t xml:space="preserve"> </w:t>
      </w:r>
      <w:proofErr w:type="spellStart"/>
      <w:r w:rsidRPr="00AB671E">
        <w:rPr>
          <w:rFonts w:ascii="Verdana" w:hAnsi="Verdana"/>
          <w:bCs/>
          <w:sz w:val="24"/>
          <w:szCs w:val="24"/>
        </w:rPr>
        <w:t>Disord</w:t>
      </w:r>
      <w:proofErr w:type="spellEnd"/>
      <w:r w:rsidRPr="00AB671E">
        <w:rPr>
          <w:rFonts w:ascii="Verdana" w:hAnsi="Verdana"/>
          <w:bCs/>
          <w:sz w:val="24"/>
          <w:szCs w:val="24"/>
        </w:rPr>
        <w:t xml:space="preserve"> [Internet]. 2025 </w:t>
      </w:r>
      <w:r w:rsidRPr="00AB671E">
        <w:rPr>
          <w:rFonts w:ascii="Verdana" w:hAnsi="Verdana"/>
          <w:bCs/>
          <w:sz w:val="24"/>
          <w:szCs w:val="24"/>
          <w:lang w:val="es-ES"/>
        </w:rPr>
        <w:t>[citado 27/06/2025]</w:t>
      </w:r>
      <w:r w:rsidRPr="00AB671E">
        <w:rPr>
          <w:rFonts w:ascii="Verdana" w:hAnsi="Verdana"/>
          <w:bCs/>
          <w:sz w:val="24"/>
          <w:szCs w:val="24"/>
        </w:rPr>
        <w:t xml:space="preserve">; 25(1): p25. Disponible en: </w:t>
      </w:r>
      <w:hyperlink r:id="rId31" w:history="1">
        <w:r w:rsidRPr="00AB671E">
          <w:rPr>
            <w:rStyle w:val="Hipervnculo"/>
            <w:rFonts w:ascii="Verdana" w:hAnsi="Verdana"/>
            <w:bCs/>
            <w:sz w:val="24"/>
            <w:szCs w:val="24"/>
          </w:rPr>
          <w:t>https://pmc.ncbi.nlm.nih.gov/articles/PMC11765927/pdf/12902_2025_Article_1848.pdf</w:t>
        </w:r>
      </w:hyperlink>
      <w:r w:rsidRPr="00AB671E">
        <w:rPr>
          <w:rFonts w:ascii="Verdana" w:hAnsi="Verdana"/>
          <w:bCs/>
          <w:sz w:val="24"/>
          <w:szCs w:val="24"/>
        </w:rPr>
        <w:t xml:space="preserve"> </w:t>
      </w:r>
    </w:p>
    <w:p w14:paraId="0CF1CFAD" w14:textId="77777777" w:rsidR="00AB671E" w:rsidRPr="00AB671E" w:rsidRDefault="00AB671E" w:rsidP="00AB671E">
      <w:pPr>
        <w:spacing w:line="240" w:lineRule="auto"/>
        <w:jc w:val="both"/>
        <w:rPr>
          <w:rFonts w:ascii="Verdana" w:hAnsi="Verdana"/>
          <w:bCs/>
          <w:sz w:val="24"/>
          <w:szCs w:val="24"/>
        </w:rPr>
      </w:pPr>
      <w:r w:rsidRPr="00AB671E">
        <w:rPr>
          <w:rFonts w:ascii="Verdana" w:hAnsi="Verdana"/>
          <w:bCs/>
          <w:sz w:val="24"/>
          <w:szCs w:val="24"/>
          <w:lang w:val="en-US"/>
        </w:rPr>
        <w:t>20.</w:t>
      </w:r>
      <w:r w:rsidRPr="00AB671E">
        <w:rPr>
          <w:rFonts w:ascii="Verdana" w:hAnsi="Verdana"/>
          <w:bCs/>
          <w:sz w:val="24"/>
          <w:szCs w:val="24"/>
          <w:lang w:val="en-US"/>
        </w:rPr>
        <w:tab/>
        <w:t xml:space="preserve">Zhou T, </w:t>
      </w:r>
      <w:proofErr w:type="spellStart"/>
      <w:r w:rsidRPr="00AB671E">
        <w:rPr>
          <w:rFonts w:ascii="Verdana" w:hAnsi="Verdana"/>
          <w:bCs/>
          <w:sz w:val="24"/>
          <w:szCs w:val="24"/>
          <w:lang w:val="en-US"/>
        </w:rPr>
        <w:t>Xie</w:t>
      </w:r>
      <w:proofErr w:type="spellEnd"/>
      <w:r w:rsidRPr="00AB671E">
        <w:rPr>
          <w:rFonts w:ascii="Verdana" w:hAnsi="Verdana"/>
          <w:bCs/>
          <w:sz w:val="24"/>
          <w:szCs w:val="24"/>
          <w:lang w:val="en-US"/>
        </w:rPr>
        <w:t xml:space="preserve"> C. Association between Triglyceride-Glucose index and onset of type 2 diabetes in metabolic Dysfunction-Associated </w:t>
      </w:r>
      <w:proofErr w:type="spellStart"/>
      <w:r w:rsidRPr="00AB671E">
        <w:rPr>
          <w:rFonts w:ascii="Verdana" w:hAnsi="Verdana"/>
          <w:bCs/>
          <w:sz w:val="24"/>
          <w:szCs w:val="24"/>
          <w:lang w:val="en-US"/>
        </w:rPr>
        <w:t>steatotic</w:t>
      </w:r>
      <w:proofErr w:type="spellEnd"/>
      <w:r w:rsidRPr="00AB671E">
        <w:rPr>
          <w:rFonts w:ascii="Verdana" w:hAnsi="Verdana"/>
          <w:bCs/>
          <w:sz w:val="24"/>
          <w:szCs w:val="24"/>
          <w:lang w:val="en-US"/>
        </w:rPr>
        <w:t xml:space="preserve"> liver disease population. </w:t>
      </w:r>
      <w:proofErr w:type="spellStart"/>
      <w:r w:rsidRPr="00AB671E">
        <w:rPr>
          <w:rFonts w:ascii="Verdana" w:hAnsi="Verdana"/>
          <w:bCs/>
          <w:sz w:val="24"/>
          <w:szCs w:val="24"/>
        </w:rPr>
        <w:t>Scientific</w:t>
      </w:r>
      <w:proofErr w:type="spellEnd"/>
      <w:r w:rsidRPr="00AB671E">
        <w:rPr>
          <w:rFonts w:ascii="Verdana" w:hAnsi="Verdana"/>
          <w:bCs/>
          <w:sz w:val="24"/>
          <w:szCs w:val="24"/>
        </w:rPr>
        <w:t xml:space="preserve"> </w:t>
      </w:r>
      <w:proofErr w:type="spellStart"/>
      <w:r w:rsidRPr="00AB671E">
        <w:rPr>
          <w:rFonts w:ascii="Verdana" w:hAnsi="Verdana"/>
          <w:bCs/>
          <w:sz w:val="24"/>
          <w:szCs w:val="24"/>
        </w:rPr>
        <w:t>reports</w:t>
      </w:r>
      <w:proofErr w:type="spellEnd"/>
      <w:r w:rsidRPr="00AB671E">
        <w:rPr>
          <w:rFonts w:ascii="Verdana" w:hAnsi="Verdana"/>
          <w:bCs/>
          <w:sz w:val="24"/>
          <w:szCs w:val="24"/>
        </w:rPr>
        <w:t xml:space="preserve"> [Internet]. 2025 </w:t>
      </w:r>
      <w:r w:rsidRPr="00AB671E">
        <w:rPr>
          <w:rFonts w:ascii="Verdana" w:hAnsi="Verdana"/>
          <w:bCs/>
          <w:sz w:val="24"/>
          <w:szCs w:val="24"/>
          <w:lang w:val="es-ES"/>
        </w:rPr>
        <w:t>[citado 27/06/2025]</w:t>
      </w:r>
      <w:r w:rsidRPr="00AB671E">
        <w:rPr>
          <w:rFonts w:ascii="Verdana" w:hAnsi="Verdana"/>
          <w:bCs/>
          <w:sz w:val="24"/>
          <w:szCs w:val="24"/>
        </w:rPr>
        <w:t xml:space="preserve">; 15(1): p18044. Disponible en: </w:t>
      </w:r>
      <w:hyperlink r:id="rId32" w:history="1">
        <w:r w:rsidRPr="00AB671E">
          <w:rPr>
            <w:rStyle w:val="Hipervnculo"/>
            <w:rFonts w:ascii="Verdana" w:hAnsi="Verdana"/>
            <w:bCs/>
            <w:sz w:val="24"/>
            <w:szCs w:val="24"/>
          </w:rPr>
          <w:t>https://doi.org/10.1038/s41598-025-03453-2</w:t>
        </w:r>
      </w:hyperlink>
      <w:r w:rsidRPr="00AB671E">
        <w:rPr>
          <w:rFonts w:ascii="Verdana" w:hAnsi="Verdana"/>
          <w:bCs/>
          <w:sz w:val="24"/>
          <w:szCs w:val="24"/>
        </w:rPr>
        <w:t xml:space="preserve"> </w:t>
      </w:r>
    </w:p>
    <w:p w14:paraId="33B8C709" w14:textId="77777777" w:rsidR="00AB671E" w:rsidRPr="00AB671E" w:rsidRDefault="00AB671E" w:rsidP="00AB671E">
      <w:pPr>
        <w:spacing w:line="240" w:lineRule="auto"/>
        <w:jc w:val="both"/>
        <w:rPr>
          <w:rFonts w:ascii="Verdana" w:hAnsi="Verdana"/>
          <w:bCs/>
          <w:sz w:val="24"/>
          <w:szCs w:val="24"/>
          <w:lang w:val="en-US"/>
        </w:rPr>
      </w:pPr>
      <w:r w:rsidRPr="00AB671E">
        <w:rPr>
          <w:rFonts w:ascii="Verdana" w:hAnsi="Verdana"/>
          <w:bCs/>
          <w:sz w:val="24"/>
          <w:szCs w:val="24"/>
          <w:lang w:val="en-US"/>
        </w:rPr>
        <w:t>21.</w:t>
      </w:r>
      <w:r w:rsidRPr="00AB671E">
        <w:rPr>
          <w:rFonts w:ascii="Verdana" w:hAnsi="Verdana"/>
          <w:bCs/>
          <w:sz w:val="24"/>
          <w:szCs w:val="24"/>
          <w:lang w:val="en-US"/>
        </w:rPr>
        <w:tab/>
        <w:t xml:space="preserve">Khan SH, Hafeez A, Khan Y, Khalid UB, Shah S, </w:t>
      </w:r>
      <w:proofErr w:type="spellStart"/>
      <w:r w:rsidRPr="00AB671E">
        <w:rPr>
          <w:rFonts w:ascii="Verdana" w:hAnsi="Verdana"/>
          <w:bCs/>
          <w:sz w:val="24"/>
          <w:szCs w:val="24"/>
          <w:lang w:val="en-US"/>
        </w:rPr>
        <w:t>Ghauri</w:t>
      </w:r>
      <w:proofErr w:type="spellEnd"/>
      <w:r w:rsidRPr="00AB671E">
        <w:rPr>
          <w:rFonts w:ascii="Verdana" w:hAnsi="Verdana"/>
          <w:bCs/>
          <w:sz w:val="24"/>
          <w:szCs w:val="24"/>
          <w:lang w:val="en-US"/>
        </w:rPr>
        <w:t xml:space="preserve"> AA. Association Between Triglyceride-Glucose Index and Homeostasis Model Assessment for Insulin Resistance with Estimated Glucose Disposal Rate. Journal of the College of Physicians and Surgeons--Pakistan. 2024;34(5): p617-9</w:t>
      </w:r>
    </w:p>
    <w:p w14:paraId="732DE4D4" w14:textId="26D738D1" w:rsidR="00025FC1" w:rsidRPr="00AB671E" w:rsidRDefault="00501EA1" w:rsidP="00AB671E">
      <w:pPr>
        <w:rPr>
          <w:rFonts w:ascii="Verdana" w:hAnsi="Verdana"/>
          <w:bCs/>
          <w:sz w:val="24"/>
          <w:szCs w:val="24"/>
        </w:rPr>
      </w:pPr>
      <w:r w:rsidRPr="00AB671E">
        <w:rPr>
          <w:bCs/>
          <w:noProof/>
          <w:szCs w:val="24"/>
        </w:rPr>
        <w:fldChar w:fldCharType="begin"/>
      </w:r>
      <w:r w:rsidRPr="00AB671E">
        <w:rPr>
          <w:bCs/>
          <w:szCs w:val="24"/>
          <w:lang w:val="es-ES"/>
        </w:rPr>
        <w:instrText xml:space="preserve"> ADDIN EN.REFLIST </w:instrText>
      </w:r>
      <w:r w:rsidRPr="00AB671E">
        <w:rPr>
          <w:bCs/>
          <w:noProof/>
          <w:szCs w:val="24"/>
        </w:rPr>
        <w:fldChar w:fldCharType="end"/>
      </w:r>
    </w:p>
    <w:sectPr w:rsidR="00025FC1" w:rsidRPr="00AB671E" w:rsidSect="00025FC1">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D4A2B"/>
    <w:multiLevelType w:val="hybridMultilevel"/>
    <w:tmpl w:val="F6CCA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0C33611"/>
    <w:multiLevelType w:val="hybridMultilevel"/>
    <w:tmpl w:val="42FAD7D0"/>
    <w:lvl w:ilvl="0" w:tplc="CFA44A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14960B5"/>
    <w:multiLevelType w:val="hybridMultilevel"/>
    <w:tmpl w:val="A56A6ADE"/>
    <w:lvl w:ilvl="0" w:tplc="080A0003">
      <w:start w:val="1"/>
      <w:numFmt w:val="bullet"/>
      <w:lvlText w:val="o"/>
      <w:lvlJc w:val="left"/>
      <w:pPr>
        <w:ind w:left="1776" w:hanging="360"/>
      </w:pPr>
      <w:rPr>
        <w:rFonts w:ascii="Courier New" w:hAnsi="Courier New" w:cs="Courier New" w:hint="default"/>
      </w:rPr>
    </w:lvl>
    <w:lvl w:ilvl="1" w:tplc="080A0003" w:tentative="1">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Verdana&lt;/FontName&gt;&lt;FontSize&gt;12&lt;/FontSize&gt;&lt;ReflistTitle&gt;&lt;/ReflistTitle&gt;&lt;StartingRefnum&gt;1&lt;/StartingRefnum&gt;&lt;FirstLineIndent&gt;0&lt;/FirstLineIndent&gt;&lt;HangingIndent&gt;720&lt;/HangingIndent&gt;&lt;LineSpacing&gt;0&lt;/LineSpacing&gt;&lt;SpaceAfter&gt;2&lt;/SpaceAfter&gt;&lt;HyperlinksEnabled&gt;1&lt;/HyperlinksEnabled&gt;&lt;HyperlinksVisible&gt;1&lt;/HyperlinksVisible&gt;&lt;EnableBibliographyCategories&gt;0&lt;/EnableBibliographyCategories&gt;&lt;/ENLayout&gt;"/>
    <w:docVar w:name="EN.Libraries" w:val="&lt;Libraries&gt;&lt;/Libraries&gt;"/>
  </w:docVars>
  <w:rsids>
    <w:rsidRoot w:val="00B2687D"/>
    <w:rsid w:val="00025FC1"/>
    <w:rsid w:val="000529C3"/>
    <w:rsid w:val="00082B48"/>
    <w:rsid w:val="00087D43"/>
    <w:rsid w:val="000D0368"/>
    <w:rsid w:val="000D6DF5"/>
    <w:rsid w:val="0010061B"/>
    <w:rsid w:val="00154287"/>
    <w:rsid w:val="00157DE3"/>
    <w:rsid w:val="00187654"/>
    <w:rsid w:val="001878B2"/>
    <w:rsid w:val="001B10AF"/>
    <w:rsid w:val="001B12F4"/>
    <w:rsid w:val="001C661C"/>
    <w:rsid w:val="002513B9"/>
    <w:rsid w:val="00253B46"/>
    <w:rsid w:val="00282186"/>
    <w:rsid w:val="00283792"/>
    <w:rsid w:val="002D53DD"/>
    <w:rsid w:val="002F27D0"/>
    <w:rsid w:val="00317D8F"/>
    <w:rsid w:val="00366E63"/>
    <w:rsid w:val="0037352D"/>
    <w:rsid w:val="0048323D"/>
    <w:rsid w:val="0048757C"/>
    <w:rsid w:val="004A3565"/>
    <w:rsid w:val="00501EA1"/>
    <w:rsid w:val="00514436"/>
    <w:rsid w:val="005440F8"/>
    <w:rsid w:val="00556625"/>
    <w:rsid w:val="00565DF2"/>
    <w:rsid w:val="00582441"/>
    <w:rsid w:val="005B6C98"/>
    <w:rsid w:val="005D1D98"/>
    <w:rsid w:val="005D7D3E"/>
    <w:rsid w:val="00600841"/>
    <w:rsid w:val="00635915"/>
    <w:rsid w:val="00644AE2"/>
    <w:rsid w:val="00667C46"/>
    <w:rsid w:val="006935FC"/>
    <w:rsid w:val="006A1677"/>
    <w:rsid w:val="006B2973"/>
    <w:rsid w:val="006C14B4"/>
    <w:rsid w:val="006E3657"/>
    <w:rsid w:val="006F0F12"/>
    <w:rsid w:val="00712147"/>
    <w:rsid w:val="007301A2"/>
    <w:rsid w:val="00765F63"/>
    <w:rsid w:val="00770C48"/>
    <w:rsid w:val="007730C1"/>
    <w:rsid w:val="007A4A4A"/>
    <w:rsid w:val="007E3FDA"/>
    <w:rsid w:val="007F26E3"/>
    <w:rsid w:val="00856F9F"/>
    <w:rsid w:val="008B112F"/>
    <w:rsid w:val="008E16F9"/>
    <w:rsid w:val="00935EB4"/>
    <w:rsid w:val="00946482"/>
    <w:rsid w:val="00947161"/>
    <w:rsid w:val="00947512"/>
    <w:rsid w:val="0098094C"/>
    <w:rsid w:val="00980D21"/>
    <w:rsid w:val="00990C0B"/>
    <w:rsid w:val="00991296"/>
    <w:rsid w:val="009A6155"/>
    <w:rsid w:val="009B10AD"/>
    <w:rsid w:val="009D2A65"/>
    <w:rsid w:val="009D660F"/>
    <w:rsid w:val="00A17F98"/>
    <w:rsid w:val="00A67BF8"/>
    <w:rsid w:val="00AB671E"/>
    <w:rsid w:val="00AE7452"/>
    <w:rsid w:val="00AF0169"/>
    <w:rsid w:val="00B2687D"/>
    <w:rsid w:val="00B6222C"/>
    <w:rsid w:val="00B927B5"/>
    <w:rsid w:val="00BC1BDD"/>
    <w:rsid w:val="00BD7659"/>
    <w:rsid w:val="00C0794F"/>
    <w:rsid w:val="00C34610"/>
    <w:rsid w:val="00C86213"/>
    <w:rsid w:val="00C865E7"/>
    <w:rsid w:val="00C92538"/>
    <w:rsid w:val="00CA273E"/>
    <w:rsid w:val="00CA3B26"/>
    <w:rsid w:val="00D03E45"/>
    <w:rsid w:val="00D35E10"/>
    <w:rsid w:val="00D73BE8"/>
    <w:rsid w:val="00DA4BBD"/>
    <w:rsid w:val="00DB47C7"/>
    <w:rsid w:val="00DB7A23"/>
    <w:rsid w:val="00DE3326"/>
    <w:rsid w:val="00E05222"/>
    <w:rsid w:val="00E12B4D"/>
    <w:rsid w:val="00E21193"/>
    <w:rsid w:val="00E615F0"/>
    <w:rsid w:val="00E91EAA"/>
    <w:rsid w:val="00EA6AD1"/>
    <w:rsid w:val="00EB0292"/>
    <w:rsid w:val="00F0342C"/>
    <w:rsid w:val="00F341D1"/>
    <w:rsid w:val="00F426D9"/>
    <w:rsid w:val="00F42E17"/>
    <w:rsid w:val="00F44E49"/>
    <w:rsid w:val="00F57B9B"/>
    <w:rsid w:val="00F976D1"/>
    <w:rsid w:val="00FF79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268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268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2687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2687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2687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268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68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68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68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687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268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2687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2687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2687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268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68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68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687D"/>
    <w:rPr>
      <w:rFonts w:eastAsiaTheme="majorEastAsia" w:cstheme="majorBidi"/>
      <w:color w:val="272727" w:themeColor="text1" w:themeTint="D8"/>
    </w:rPr>
  </w:style>
  <w:style w:type="paragraph" w:styleId="Ttulo">
    <w:name w:val="Title"/>
    <w:basedOn w:val="Normal"/>
    <w:next w:val="Normal"/>
    <w:link w:val="TtuloCar"/>
    <w:uiPriority w:val="10"/>
    <w:qFormat/>
    <w:rsid w:val="00B26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68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68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68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687D"/>
    <w:pPr>
      <w:spacing w:before="160"/>
      <w:jc w:val="center"/>
    </w:pPr>
    <w:rPr>
      <w:i/>
      <w:iCs/>
      <w:color w:val="404040" w:themeColor="text1" w:themeTint="BF"/>
    </w:rPr>
  </w:style>
  <w:style w:type="character" w:customStyle="1" w:styleId="CitaCar">
    <w:name w:val="Cita Car"/>
    <w:basedOn w:val="Fuentedeprrafopredeter"/>
    <w:link w:val="Cita"/>
    <w:uiPriority w:val="29"/>
    <w:rsid w:val="00B2687D"/>
    <w:rPr>
      <w:i/>
      <w:iCs/>
      <w:color w:val="404040" w:themeColor="text1" w:themeTint="BF"/>
    </w:rPr>
  </w:style>
  <w:style w:type="paragraph" w:styleId="Prrafodelista">
    <w:name w:val="List Paragraph"/>
    <w:basedOn w:val="Normal"/>
    <w:uiPriority w:val="34"/>
    <w:qFormat/>
    <w:rsid w:val="00B2687D"/>
    <w:pPr>
      <w:ind w:left="720"/>
      <w:contextualSpacing/>
    </w:pPr>
  </w:style>
  <w:style w:type="character" w:styleId="nfasisintenso">
    <w:name w:val="Intense Emphasis"/>
    <w:basedOn w:val="Fuentedeprrafopredeter"/>
    <w:uiPriority w:val="21"/>
    <w:qFormat/>
    <w:rsid w:val="00B2687D"/>
    <w:rPr>
      <w:i/>
      <w:iCs/>
      <w:color w:val="2F5496" w:themeColor="accent1" w:themeShade="BF"/>
    </w:rPr>
  </w:style>
  <w:style w:type="paragraph" w:styleId="Citadestacada">
    <w:name w:val="Intense Quote"/>
    <w:basedOn w:val="Normal"/>
    <w:next w:val="Normal"/>
    <w:link w:val="CitadestacadaCar"/>
    <w:uiPriority w:val="30"/>
    <w:qFormat/>
    <w:rsid w:val="00B26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2687D"/>
    <w:rPr>
      <w:i/>
      <w:iCs/>
      <w:color w:val="2F5496" w:themeColor="accent1" w:themeShade="BF"/>
    </w:rPr>
  </w:style>
  <w:style w:type="character" w:styleId="Referenciaintensa">
    <w:name w:val="Intense Reference"/>
    <w:basedOn w:val="Fuentedeprrafopredeter"/>
    <w:uiPriority w:val="32"/>
    <w:qFormat/>
    <w:rsid w:val="00B2687D"/>
    <w:rPr>
      <w:b/>
      <w:bCs/>
      <w:smallCaps/>
      <w:color w:val="2F5496" w:themeColor="accent1" w:themeShade="BF"/>
      <w:spacing w:val="5"/>
    </w:rPr>
  </w:style>
  <w:style w:type="character" w:styleId="Hipervnculo">
    <w:name w:val="Hyperlink"/>
    <w:basedOn w:val="Fuentedeprrafopredeter"/>
    <w:uiPriority w:val="99"/>
    <w:unhideWhenUsed/>
    <w:rsid w:val="00282186"/>
    <w:rPr>
      <w:color w:val="0563C1" w:themeColor="hyperlink"/>
      <w:u w:val="single"/>
    </w:rPr>
  </w:style>
  <w:style w:type="character" w:customStyle="1" w:styleId="Mencinsinresolver1">
    <w:name w:val="Mención sin resolver1"/>
    <w:basedOn w:val="Fuentedeprrafopredeter"/>
    <w:uiPriority w:val="99"/>
    <w:semiHidden/>
    <w:unhideWhenUsed/>
    <w:rsid w:val="00282186"/>
    <w:rPr>
      <w:color w:val="605E5C"/>
      <w:shd w:val="clear" w:color="auto" w:fill="E1DFDD"/>
    </w:rPr>
  </w:style>
  <w:style w:type="table" w:styleId="Tablaconcuadrcula">
    <w:name w:val="Table Grid"/>
    <w:basedOn w:val="Tablanormal"/>
    <w:uiPriority w:val="39"/>
    <w:rsid w:val="00CA2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CA273E"/>
    <w:pPr>
      <w:spacing w:after="200" w:line="240" w:lineRule="auto"/>
    </w:pPr>
    <w:rPr>
      <w:i/>
      <w:iCs/>
      <w:color w:val="44546A" w:themeColor="text2"/>
      <w:sz w:val="18"/>
      <w:szCs w:val="18"/>
    </w:rPr>
  </w:style>
  <w:style w:type="character" w:styleId="Textodelmarcadordeposicin">
    <w:name w:val="Placeholder Text"/>
    <w:basedOn w:val="Fuentedeprrafopredeter"/>
    <w:uiPriority w:val="99"/>
    <w:semiHidden/>
    <w:rsid w:val="00E615F0"/>
    <w:rPr>
      <w:color w:val="666666"/>
    </w:rPr>
  </w:style>
  <w:style w:type="paragraph" w:customStyle="1" w:styleId="EndNoteBibliographyTitle">
    <w:name w:val="EndNote Bibliography Title"/>
    <w:basedOn w:val="Normal"/>
    <w:link w:val="EndNoteBibliographyTitleCar"/>
    <w:rsid w:val="00501EA1"/>
    <w:pPr>
      <w:spacing w:after="0"/>
      <w:jc w:val="center"/>
    </w:pPr>
    <w:rPr>
      <w:rFonts w:ascii="Verdana" w:hAnsi="Verdana" w:cs="Calibri"/>
      <w:noProof/>
      <w:sz w:val="24"/>
      <w:lang w:val="en-US"/>
    </w:rPr>
  </w:style>
  <w:style w:type="character" w:customStyle="1" w:styleId="EndNoteBibliographyTitleCar">
    <w:name w:val="EndNote Bibliography Title Car"/>
    <w:basedOn w:val="Fuentedeprrafopredeter"/>
    <w:link w:val="EndNoteBibliographyTitle"/>
    <w:rsid w:val="00501EA1"/>
    <w:rPr>
      <w:rFonts w:ascii="Verdana" w:hAnsi="Verdana" w:cs="Calibri"/>
      <w:noProof/>
      <w:sz w:val="24"/>
      <w:lang w:val="en-US"/>
    </w:rPr>
  </w:style>
  <w:style w:type="paragraph" w:customStyle="1" w:styleId="EndNoteBibliography">
    <w:name w:val="EndNote Bibliography"/>
    <w:basedOn w:val="Normal"/>
    <w:link w:val="EndNoteBibliographyCar"/>
    <w:rsid w:val="00501EA1"/>
    <w:pPr>
      <w:spacing w:line="240" w:lineRule="auto"/>
      <w:jc w:val="both"/>
    </w:pPr>
    <w:rPr>
      <w:rFonts w:ascii="Verdana" w:hAnsi="Verdana" w:cs="Calibri"/>
      <w:noProof/>
      <w:sz w:val="24"/>
      <w:lang w:val="en-US"/>
    </w:rPr>
  </w:style>
  <w:style w:type="character" w:customStyle="1" w:styleId="EndNoteBibliographyCar">
    <w:name w:val="EndNote Bibliography Car"/>
    <w:basedOn w:val="Fuentedeprrafopredeter"/>
    <w:link w:val="EndNoteBibliography"/>
    <w:rsid w:val="00501EA1"/>
    <w:rPr>
      <w:rFonts w:ascii="Verdana" w:hAnsi="Verdana" w:cs="Calibri"/>
      <w:noProof/>
      <w:sz w:val="24"/>
      <w:lang w:val="en-US"/>
    </w:rPr>
  </w:style>
  <w:style w:type="character" w:customStyle="1" w:styleId="UnresolvedMention">
    <w:name w:val="Unresolved Mention"/>
    <w:basedOn w:val="Fuentedeprrafopredeter"/>
    <w:uiPriority w:val="99"/>
    <w:semiHidden/>
    <w:unhideWhenUsed/>
    <w:rsid w:val="009464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268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268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2687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2687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2687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268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68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68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68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687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268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2687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2687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2687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268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68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68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687D"/>
    <w:rPr>
      <w:rFonts w:eastAsiaTheme="majorEastAsia" w:cstheme="majorBidi"/>
      <w:color w:val="272727" w:themeColor="text1" w:themeTint="D8"/>
    </w:rPr>
  </w:style>
  <w:style w:type="paragraph" w:styleId="Ttulo">
    <w:name w:val="Title"/>
    <w:basedOn w:val="Normal"/>
    <w:next w:val="Normal"/>
    <w:link w:val="TtuloCar"/>
    <w:uiPriority w:val="10"/>
    <w:qFormat/>
    <w:rsid w:val="00B26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68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68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68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687D"/>
    <w:pPr>
      <w:spacing w:before="160"/>
      <w:jc w:val="center"/>
    </w:pPr>
    <w:rPr>
      <w:i/>
      <w:iCs/>
      <w:color w:val="404040" w:themeColor="text1" w:themeTint="BF"/>
    </w:rPr>
  </w:style>
  <w:style w:type="character" w:customStyle="1" w:styleId="CitaCar">
    <w:name w:val="Cita Car"/>
    <w:basedOn w:val="Fuentedeprrafopredeter"/>
    <w:link w:val="Cita"/>
    <w:uiPriority w:val="29"/>
    <w:rsid w:val="00B2687D"/>
    <w:rPr>
      <w:i/>
      <w:iCs/>
      <w:color w:val="404040" w:themeColor="text1" w:themeTint="BF"/>
    </w:rPr>
  </w:style>
  <w:style w:type="paragraph" w:styleId="Prrafodelista">
    <w:name w:val="List Paragraph"/>
    <w:basedOn w:val="Normal"/>
    <w:uiPriority w:val="34"/>
    <w:qFormat/>
    <w:rsid w:val="00B2687D"/>
    <w:pPr>
      <w:ind w:left="720"/>
      <w:contextualSpacing/>
    </w:pPr>
  </w:style>
  <w:style w:type="character" w:styleId="nfasisintenso">
    <w:name w:val="Intense Emphasis"/>
    <w:basedOn w:val="Fuentedeprrafopredeter"/>
    <w:uiPriority w:val="21"/>
    <w:qFormat/>
    <w:rsid w:val="00B2687D"/>
    <w:rPr>
      <w:i/>
      <w:iCs/>
      <w:color w:val="2F5496" w:themeColor="accent1" w:themeShade="BF"/>
    </w:rPr>
  </w:style>
  <w:style w:type="paragraph" w:styleId="Citadestacada">
    <w:name w:val="Intense Quote"/>
    <w:basedOn w:val="Normal"/>
    <w:next w:val="Normal"/>
    <w:link w:val="CitadestacadaCar"/>
    <w:uiPriority w:val="30"/>
    <w:qFormat/>
    <w:rsid w:val="00B26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2687D"/>
    <w:rPr>
      <w:i/>
      <w:iCs/>
      <w:color w:val="2F5496" w:themeColor="accent1" w:themeShade="BF"/>
    </w:rPr>
  </w:style>
  <w:style w:type="character" w:styleId="Referenciaintensa">
    <w:name w:val="Intense Reference"/>
    <w:basedOn w:val="Fuentedeprrafopredeter"/>
    <w:uiPriority w:val="32"/>
    <w:qFormat/>
    <w:rsid w:val="00B2687D"/>
    <w:rPr>
      <w:b/>
      <w:bCs/>
      <w:smallCaps/>
      <w:color w:val="2F5496" w:themeColor="accent1" w:themeShade="BF"/>
      <w:spacing w:val="5"/>
    </w:rPr>
  </w:style>
  <w:style w:type="character" w:styleId="Hipervnculo">
    <w:name w:val="Hyperlink"/>
    <w:basedOn w:val="Fuentedeprrafopredeter"/>
    <w:uiPriority w:val="99"/>
    <w:unhideWhenUsed/>
    <w:rsid w:val="00282186"/>
    <w:rPr>
      <w:color w:val="0563C1" w:themeColor="hyperlink"/>
      <w:u w:val="single"/>
    </w:rPr>
  </w:style>
  <w:style w:type="character" w:customStyle="1" w:styleId="Mencinsinresolver1">
    <w:name w:val="Mención sin resolver1"/>
    <w:basedOn w:val="Fuentedeprrafopredeter"/>
    <w:uiPriority w:val="99"/>
    <w:semiHidden/>
    <w:unhideWhenUsed/>
    <w:rsid w:val="00282186"/>
    <w:rPr>
      <w:color w:val="605E5C"/>
      <w:shd w:val="clear" w:color="auto" w:fill="E1DFDD"/>
    </w:rPr>
  </w:style>
  <w:style w:type="table" w:styleId="Tablaconcuadrcula">
    <w:name w:val="Table Grid"/>
    <w:basedOn w:val="Tablanormal"/>
    <w:uiPriority w:val="39"/>
    <w:rsid w:val="00CA2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CA273E"/>
    <w:pPr>
      <w:spacing w:after="200" w:line="240" w:lineRule="auto"/>
    </w:pPr>
    <w:rPr>
      <w:i/>
      <w:iCs/>
      <w:color w:val="44546A" w:themeColor="text2"/>
      <w:sz w:val="18"/>
      <w:szCs w:val="18"/>
    </w:rPr>
  </w:style>
  <w:style w:type="character" w:styleId="Textodelmarcadordeposicin">
    <w:name w:val="Placeholder Text"/>
    <w:basedOn w:val="Fuentedeprrafopredeter"/>
    <w:uiPriority w:val="99"/>
    <w:semiHidden/>
    <w:rsid w:val="00E615F0"/>
    <w:rPr>
      <w:color w:val="666666"/>
    </w:rPr>
  </w:style>
  <w:style w:type="paragraph" w:customStyle="1" w:styleId="EndNoteBibliographyTitle">
    <w:name w:val="EndNote Bibliography Title"/>
    <w:basedOn w:val="Normal"/>
    <w:link w:val="EndNoteBibliographyTitleCar"/>
    <w:rsid w:val="00501EA1"/>
    <w:pPr>
      <w:spacing w:after="0"/>
      <w:jc w:val="center"/>
    </w:pPr>
    <w:rPr>
      <w:rFonts w:ascii="Verdana" w:hAnsi="Verdana" w:cs="Calibri"/>
      <w:noProof/>
      <w:sz w:val="24"/>
      <w:lang w:val="en-US"/>
    </w:rPr>
  </w:style>
  <w:style w:type="character" w:customStyle="1" w:styleId="EndNoteBibliographyTitleCar">
    <w:name w:val="EndNote Bibliography Title Car"/>
    <w:basedOn w:val="Fuentedeprrafopredeter"/>
    <w:link w:val="EndNoteBibliographyTitle"/>
    <w:rsid w:val="00501EA1"/>
    <w:rPr>
      <w:rFonts w:ascii="Verdana" w:hAnsi="Verdana" w:cs="Calibri"/>
      <w:noProof/>
      <w:sz w:val="24"/>
      <w:lang w:val="en-US"/>
    </w:rPr>
  </w:style>
  <w:style w:type="paragraph" w:customStyle="1" w:styleId="EndNoteBibliography">
    <w:name w:val="EndNote Bibliography"/>
    <w:basedOn w:val="Normal"/>
    <w:link w:val="EndNoteBibliographyCar"/>
    <w:rsid w:val="00501EA1"/>
    <w:pPr>
      <w:spacing w:line="240" w:lineRule="auto"/>
      <w:jc w:val="both"/>
    </w:pPr>
    <w:rPr>
      <w:rFonts w:ascii="Verdana" w:hAnsi="Verdana" w:cs="Calibri"/>
      <w:noProof/>
      <w:sz w:val="24"/>
      <w:lang w:val="en-US"/>
    </w:rPr>
  </w:style>
  <w:style w:type="character" w:customStyle="1" w:styleId="EndNoteBibliographyCar">
    <w:name w:val="EndNote Bibliography Car"/>
    <w:basedOn w:val="Fuentedeprrafopredeter"/>
    <w:link w:val="EndNoteBibliography"/>
    <w:rsid w:val="00501EA1"/>
    <w:rPr>
      <w:rFonts w:ascii="Verdana" w:hAnsi="Verdana" w:cs="Calibri"/>
      <w:noProof/>
      <w:sz w:val="24"/>
      <w:lang w:val="en-US"/>
    </w:rPr>
  </w:style>
  <w:style w:type="character" w:customStyle="1" w:styleId="UnresolvedMention">
    <w:name w:val="Unresolved Mention"/>
    <w:basedOn w:val="Fuentedeprrafopredeter"/>
    <w:uiPriority w:val="99"/>
    <w:semiHidden/>
    <w:unhideWhenUsed/>
    <w:rsid w:val="0094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2480">
      <w:bodyDiv w:val="1"/>
      <w:marLeft w:val="0"/>
      <w:marRight w:val="0"/>
      <w:marTop w:val="0"/>
      <w:marBottom w:val="0"/>
      <w:divBdr>
        <w:top w:val="none" w:sz="0" w:space="0" w:color="auto"/>
        <w:left w:val="none" w:sz="0" w:space="0" w:color="auto"/>
        <w:bottom w:val="none" w:sz="0" w:space="0" w:color="auto"/>
        <w:right w:val="none" w:sz="0" w:space="0" w:color="auto"/>
      </w:divBdr>
    </w:div>
    <w:div w:id="627470170">
      <w:bodyDiv w:val="1"/>
      <w:marLeft w:val="0"/>
      <w:marRight w:val="0"/>
      <w:marTop w:val="0"/>
      <w:marBottom w:val="0"/>
      <w:divBdr>
        <w:top w:val="none" w:sz="0" w:space="0" w:color="auto"/>
        <w:left w:val="none" w:sz="0" w:space="0" w:color="auto"/>
        <w:bottom w:val="none" w:sz="0" w:space="0" w:color="auto"/>
        <w:right w:val="none" w:sz="0" w:space="0" w:color="auto"/>
      </w:divBdr>
    </w:div>
    <w:div w:id="657271341">
      <w:bodyDiv w:val="1"/>
      <w:marLeft w:val="0"/>
      <w:marRight w:val="0"/>
      <w:marTop w:val="0"/>
      <w:marBottom w:val="0"/>
      <w:divBdr>
        <w:top w:val="none" w:sz="0" w:space="0" w:color="auto"/>
        <w:left w:val="none" w:sz="0" w:space="0" w:color="auto"/>
        <w:bottom w:val="none" w:sz="0" w:space="0" w:color="auto"/>
        <w:right w:val="none" w:sz="0" w:space="0" w:color="auto"/>
      </w:divBdr>
    </w:div>
    <w:div w:id="1412002020">
      <w:bodyDiv w:val="1"/>
      <w:marLeft w:val="0"/>
      <w:marRight w:val="0"/>
      <w:marTop w:val="0"/>
      <w:marBottom w:val="0"/>
      <w:divBdr>
        <w:top w:val="none" w:sz="0" w:space="0" w:color="auto"/>
        <w:left w:val="none" w:sz="0" w:space="0" w:color="auto"/>
        <w:bottom w:val="none" w:sz="0" w:space="0" w:color="auto"/>
        <w:right w:val="none" w:sz="0" w:space="0" w:color="auto"/>
      </w:divBdr>
    </w:div>
    <w:div w:id="1853644114">
      <w:bodyDiv w:val="1"/>
      <w:marLeft w:val="0"/>
      <w:marRight w:val="0"/>
      <w:marTop w:val="0"/>
      <w:marBottom w:val="0"/>
      <w:divBdr>
        <w:top w:val="none" w:sz="0" w:space="0" w:color="auto"/>
        <w:left w:val="none" w:sz="0" w:space="0" w:color="auto"/>
        <w:bottom w:val="none" w:sz="0" w:space="0" w:color="auto"/>
        <w:right w:val="none" w:sz="0" w:space="0" w:color="auto"/>
      </w:divBdr>
    </w:div>
    <w:div w:id="21081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430-5203" TargetMode="External"/><Relationship Id="rId13" Type="http://schemas.openxmlformats.org/officeDocument/2006/relationships/image" Target="media/image2.png"/><Relationship Id="rId18" Type="http://schemas.openxmlformats.org/officeDocument/2006/relationships/hyperlink" Target="http://scielo.isciii.es/scielo.php?script=sci_arttext&amp;pid=S0212-16112022001000018&amp;nrm=iso" TargetMode="External"/><Relationship Id="rId26" Type="http://schemas.openxmlformats.org/officeDocument/2006/relationships/hyperlink" Target="https://doi.org/10.1210/jc.2018-01102" TargetMode="External"/><Relationship Id="rId3" Type="http://schemas.microsoft.com/office/2007/relationships/stylesWithEffects" Target="stylesWithEffects.xml"/><Relationship Id="rId21" Type="http://schemas.openxmlformats.org/officeDocument/2006/relationships/hyperlink" Target="https://www.mdpi.com/1660-4601/20/1/787" TargetMode="External"/><Relationship Id="rId34" Type="http://schemas.openxmlformats.org/officeDocument/2006/relationships/theme" Target="theme/theme1.xml"/><Relationship Id="rId7" Type="http://schemas.openxmlformats.org/officeDocument/2006/relationships/hyperlink" Target="https://orcid.org/0009-0000-7064-0749" TargetMode="External"/><Relationship Id="rId12" Type="http://schemas.openxmlformats.org/officeDocument/2006/relationships/image" Target="media/image1.png"/><Relationship Id="rId17" Type="http://schemas.openxmlformats.org/officeDocument/2006/relationships/hyperlink" Target="https://www.scielo.org.mx/pdf/gmm/v157n5/0016-3813-gmm-157-5-539.pdf" TargetMode="External"/><Relationship Id="rId25" Type="http://schemas.openxmlformats.org/officeDocument/2006/relationships/hyperlink" Target="https://pmc.ncbi.nlm.nih.gov/articles/PMC7275493/pdf/12889_2020_Article_8980.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cmnsz.mx/2020/uiem/Publicaciones/Indices%20para%20la%20evaluacion%20de%20la%20resistencia%20a%20la%20insulina%20en%20individuos%20mexicanos%20sin%20diabetes.pdf" TargetMode="External"/><Relationship Id="rId20" Type="http://schemas.openxmlformats.org/officeDocument/2006/relationships/hyperlink" Target="https://revistabypc.org.ar/index.php/bypc/article/view/81/190" TargetMode="External"/><Relationship Id="rId29" Type="http://schemas.openxmlformats.org/officeDocument/2006/relationships/hyperlink" Target="https://pmc.ncbi.nlm.nih.gov/articles/PMC12045142/pdf/cureus-0017-00000081550.pdf" TargetMode="External"/><Relationship Id="rId1" Type="http://schemas.openxmlformats.org/officeDocument/2006/relationships/numbering" Target="numbering.xml"/><Relationship Id="rId6" Type="http://schemas.openxmlformats.org/officeDocument/2006/relationships/hyperlink" Target="https://orcid.org/0000-0002-4076-8650" TargetMode="External"/><Relationship Id="rId11" Type="http://schemas.openxmlformats.org/officeDocument/2006/relationships/hyperlink" Target="mailto:rubengtabares@gmail.com" TargetMode="External"/><Relationship Id="rId24" Type="http://schemas.openxmlformats.org/officeDocument/2006/relationships/hyperlink" Target="https://pmc.ncbi.nlm.nih.gov/articles/PMC10674729/pdf/nutrients-15-04778.pdf" TargetMode="External"/><Relationship Id="rId32" Type="http://schemas.openxmlformats.org/officeDocument/2006/relationships/hyperlink" Target="https://doi.org/10.1038/s41598-025-03453-2" TargetMode="External"/><Relationship Id="rId5" Type="http://schemas.openxmlformats.org/officeDocument/2006/relationships/webSettings" Target="webSettings.xml"/><Relationship Id="rId15" Type="http://schemas.openxmlformats.org/officeDocument/2006/relationships/hyperlink" Target="https://www.elsevier.es/es" TargetMode="External"/><Relationship Id="rId23" Type="http://schemas.openxmlformats.org/officeDocument/2006/relationships/hyperlink" Target="https://pmc.ncbi.nlm.nih.gov/articles/PMC11020664/pdf/12995_2024_Article_411.pdf" TargetMode="External"/><Relationship Id="rId28" Type="http://schemas.openxmlformats.org/officeDocument/2006/relationships/hyperlink" Target="https://pmc.ncbi.nlm.nih.gov/articles/PMC3156353/pdf/nihms-312721.pdf" TargetMode="External"/><Relationship Id="rId10" Type="http://schemas.openxmlformats.org/officeDocument/2006/relationships/hyperlink" Target="https://orcid.org/0000-0002-6801-5191" TargetMode="External"/><Relationship Id="rId19" Type="http://schemas.openxmlformats.org/officeDocument/2006/relationships/hyperlink" Target="https://doi.org/10.46332/aemj.1140228" TargetMode="External"/><Relationship Id="rId31" Type="http://schemas.openxmlformats.org/officeDocument/2006/relationships/hyperlink" Target="https://pmc.ncbi.nlm.nih.gov/articles/PMC11765927/pdf/12902_2025_Article_1848.pdf" TargetMode="External"/><Relationship Id="rId4" Type="http://schemas.openxmlformats.org/officeDocument/2006/relationships/settings" Target="settings.xml"/><Relationship Id="rId9" Type="http://schemas.openxmlformats.org/officeDocument/2006/relationships/hyperlink" Target="https://orcid.org/0000-0001-8367-8578" TargetMode="External"/><Relationship Id="rId14" Type="http://schemas.openxmlformats.org/officeDocument/2006/relationships/hyperlink" Target="https://www.scielo.org.ar/pdf/abcl/v54n3/v54n3a02.pdf" TargetMode="External"/><Relationship Id="rId22" Type="http://schemas.openxmlformats.org/officeDocument/2006/relationships/hyperlink" Target="https://pmc.ncbi.nlm.nih.gov/articles/PMC11664022/pdf/db240652.pdf" TargetMode="External"/><Relationship Id="rId27" Type="http://schemas.openxmlformats.org/officeDocument/2006/relationships/hyperlink" Target="https://www.thelancet.com/action/showPdf?pii=S2666-6065%2824%2900272-4" TargetMode="External"/><Relationship Id="rId30" Type="http://schemas.openxmlformats.org/officeDocument/2006/relationships/hyperlink" Target="https://europepmc.org/backend/ptpmcrender.fcgi?accid=PMC9007200&amp;blobtyp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15</Pages>
  <Words>4624</Words>
  <Characters>25434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González Tabares</dc:creator>
  <cp:keywords/>
  <dc:description/>
  <cp:lastModifiedBy>cl6</cp:lastModifiedBy>
  <cp:revision>7</cp:revision>
  <dcterms:created xsi:type="dcterms:W3CDTF">2025-06-27T22:04:00Z</dcterms:created>
  <dcterms:modified xsi:type="dcterms:W3CDTF">2025-07-01T17:10:00Z</dcterms:modified>
</cp:coreProperties>
</file>